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5E010" w14:textId="2F79B0CE"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1F71A4">
        <w:rPr>
          <w:rFonts w:ascii="Arial" w:hAnsi="Arial" w:cs="Arial"/>
          <w:b/>
          <w:sz w:val="24"/>
        </w:rPr>
        <w:t>89</w:t>
      </w:r>
      <w:r w:rsidRPr="00DA12F7">
        <w:rPr>
          <w:rFonts w:ascii="Arial" w:hAnsi="Arial" w:cs="Arial"/>
          <w:b/>
          <w:sz w:val="24"/>
        </w:rPr>
        <w:tab/>
      </w:r>
      <w:r w:rsidR="00C12F18" w:rsidRPr="00C12F18">
        <w:rPr>
          <w:rFonts w:ascii="Arial" w:hAnsi="Arial" w:cs="Arial"/>
          <w:b/>
          <w:sz w:val="24"/>
        </w:rPr>
        <w:t>R1-1708776</w:t>
      </w:r>
      <w:bookmarkStart w:id="0" w:name="_GoBack"/>
      <w:bookmarkEnd w:id="0"/>
    </w:p>
    <w:p w14:paraId="13C19C48" w14:textId="4DD33793" w:rsidR="00FD45CD" w:rsidRPr="00DA12F7" w:rsidRDefault="001F71A4" w:rsidP="00FD45CD">
      <w:pPr>
        <w:tabs>
          <w:tab w:val="right" w:pos="9630"/>
        </w:tabs>
        <w:spacing w:after="0"/>
        <w:rPr>
          <w:rFonts w:ascii="Arial" w:hAnsi="Arial" w:cs="Arial"/>
          <w:b/>
          <w:sz w:val="24"/>
          <w:szCs w:val="24"/>
        </w:rPr>
      </w:pPr>
      <w:r>
        <w:rPr>
          <w:rFonts w:ascii="Arial" w:hAnsi="Arial" w:cs="Arial"/>
          <w:b/>
          <w:sz w:val="24"/>
          <w:szCs w:val="24"/>
        </w:rPr>
        <w:t>May 15</w:t>
      </w:r>
      <w:r w:rsidRPr="00C12F18">
        <w:rPr>
          <w:rFonts w:ascii="Arial" w:hAnsi="Arial" w:cs="Arial"/>
          <w:b/>
          <w:sz w:val="24"/>
          <w:szCs w:val="24"/>
          <w:vertAlign w:val="superscript"/>
        </w:rPr>
        <w:t>th</w:t>
      </w:r>
      <w:r>
        <w:rPr>
          <w:rFonts w:ascii="Arial" w:hAnsi="Arial" w:cs="Arial"/>
          <w:b/>
          <w:sz w:val="24"/>
          <w:szCs w:val="24"/>
        </w:rPr>
        <w:t xml:space="preserve"> – 19</w:t>
      </w:r>
      <w:r w:rsidRPr="00C12F18">
        <w:rPr>
          <w:rFonts w:ascii="Arial" w:hAnsi="Arial" w:cs="Arial"/>
          <w:b/>
          <w:sz w:val="24"/>
          <w:szCs w:val="24"/>
          <w:vertAlign w:val="superscript"/>
        </w:rPr>
        <w:t>th</w:t>
      </w:r>
      <w:r w:rsidR="00FD45CD" w:rsidRPr="00DA12F7">
        <w:rPr>
          <w:rFonts w:ascii="Arial" w:hAnsi="Arial" w:cs="Arial"/>
          <w:b/>
          <w:sz w:val="24"/>
          <w:szCs w:val="24"/>
        </w:rPr>
        <w:t>, 201</w:t>
      </w:r>
      <w:r w:rsidR="00D14560">
        <w:rPr>
          <w:rFonts w:ascii="Arial" w:hAnsi="Arial" w:cs="Arial"/>
          <w:b/>
          <w:sz w:val="24"/>
          <w:szCs w:val="24"/>
        </w:rPr>
        <w:t>7</w:t>
      </w:r>
    </w:p>
    <w:p w14:paraId="0595412A" w14:textId="37512B6E" w:rsidR="00FD45CD" w:rsidRPr="00DA12F7" w:rsidRDefault="001F71A4" w:rsidP="00FD45CD">
      <w:pPr>
        <w:rPr>
          <w:rFonts w:ascii="Arial" w:hAnsi="Arial" w:cs="Arial"/>
          <w:b/>
          <w:sz w:val="24"/>
          <w:szCs w:val="24"/>
        </w:rPr>
      </w:pPr>
      <w:r>
        <w:rPr>
          <w:rFonts w:ascii="Arial" w:hAnsi="Arial" w:cs="Arial"/>
          <w:b/>
          <w:sz w:val="24"/>
          <w:szCs w:val="24"/>
        </w:rPr>
        <w:t>Hangzhou</w:t>
      </w:r>
      <w:r w:rsidR="005A6B27">
        <w:rPr>
          <w:rFonts w:ascii="Arial" w:hAnsi="Arial" w:cs="Arial"/>
          <w:b/>
          <w:sz w:val="24"/>
          <w:szCs w:val="24"/>
        </w:rPr>
        <w:t xml:space="preserve">, </w:t>
      </w:r>
      <w:r>
        <w:rPr>
          <w:rFonts w:ascii="Arial" w:hAnsi="Arial" w:cs="Arial"/>
          <w:b/>
          <w:sz w:val="24"/>
          <w:szCs w:val="24"/>
        </w:rPr>
        <w:t>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FFBE84A"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1F71A4">
        <w:rPr>
          <w:rFonts w:ascii="Arial" w:hAnsi="Arial"/>
          <w:sz w:val="24"/>
        </w:rPr>
        <w:t>6</w:t>
      </w:r>
      <w:r w:rsidR="00D14560">
        <w:rPr>
          <w:rFonts w:ascii="Arial" w:hAnsi="Arial"/>
          <w:sz w:val="24"/>
        </w:rPr>
        <w:t>.</w:t>
      </w:r>
      <w:r w:rsidR="00B2388A">
        <w:rPr>
          <w:rFonts w:ascii="Arial" w:hAnsi="Arial"/>
          <w:sz w:val="24"/>
        </w:rPr>
        <w:t>2</w:t>
      </w:r>
      <w:r w:rsidR="00155BCB">
        <w:rPr>
          <w:rFonts w:ascii="Arial" w:hAnsi="Arial"/>
          <w:sz w:val="24"/>
        </w:rPr>
        <w:t>.</w:t>
      </w:r>
      <w:r w:rsidR="005A6B27">
        <w:rPr>
          <w:rFonts w:ascii="Arial" w:hAnsi="Arial"/>
          <w:sz w:val="24"/>
        </w:rPr>
        <w:t>1</w:t>
      </w:r>
      <w:r w:rsidR="00155BCB">
        <w:rPr>
          <w:rFonts w:ascii="Arial" w:hAnsi="Arial"/>
          <w:sz w:val="24"/>
        </w:rPr>
        <w:t>.</w:t>
      </w:r>
      <w:r w:rsidR="006034B0">
        <w:rPr>
          <w:rFonts w:ascii="Arial" w:hAnsi="Arial"/>
          <w:sz w:val="24"/>
        </w:rPr>
        <w:t>2</w:t>
      </w:r>
      <w:r w:rsidR="00D14560">
        <w:rPr>
          <w:rFonts w:ascii="Arial" w:hAnsi="Arial"/>
          <w:sz w:val="24"/>
        </w:rPr>
        <w:t>.4</w:t>
      </w:r>
      <w:r w:rsidR="006034B0">
        <w:rPr>
          <w:rFonts w:ascii="Arial" w:hAnsi="Arial"/>
          <w:sz w:val="24"/>
        </w:rPr>
        <w:t>.</w:t>
      </w:r>
      <w:r w:rsidR="00553FC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5171E49"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B578A">
        <w:rPr>
          <w:rFonts w:ascii="Arial" w:hAnsi="Arial"/>
          <w:sz w:val="24"/>
        </w:rPr>
        <w:t>Design Details of the Shortened PDSCH</w:t>
      </w:r>
      <w:r w:rsidR="00A20EB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3E0B23BE" w:rsidR="004C7384" w:rsidRDefault="00D127A5" w:rsidP="00F30894">
      <w:pPr>
        <w:jc w:val="both"/>
      </w:pPr>
      <w:r>
        <w:t>In RAN1 #86b and #8</w:t>
      </w:r>
      <w:r w:rsidR="00260E90">
        <w:t>8b</w:t>
      </w:r>
      <w:r>
        <w:t>, the following agreements are reached, respectively:</w:t>
      </w:r>
    </w:p>
    <w:p w14:paraId="4142B40A" w14:textId="14F5CA64" w:rsidR="00260E90" w:rsidRPr="00C12F18" w:rsidRDefault="00260E90" w:rsidP="00F30894">
      <w:pPr>
        <w:jc w:val="both"/>
        <w:rPr>
          <w:b/>
          <w:u w:val="single"/>
        </w:rPr>
      </w:pPr>
      <w:r w:rsidRPr="00C12F18">
        <w:rPr>
          <w:b/>
          <w:highlight w:val="green"/>
          <w:u w:val="single"/>
        </w:rPr>
        <w:t>Agreement:</w:t>
      </w:r>
    </w:p>
    <w:p w14:paraId="279A22E6" w14:textId="77777777" w:rsidR="00112035" w:rsidRPr="00D127A5" w:rsidRDefault="008830F5" w:rsidP="00D127A5">
      <w:pPr>
        <w:pStyle w:val="ListParagraph"/>
        <w:numPr>
          <w:ilvl w:val="0"/>
          <w:numId w:val="39"/>
        </w:numPr>
        <w:jc w:val="both"/>
        <w:rPr>
          <w:i/>
          <w:sz w:val="20"/>
        </w:rPr>
      </w:pPr>
      <w:r w:rsidRPr="00D127A5">
        <w:rPr>
          <w:rFonts w:eastAsiaTheme="minorEastAsia"/>
          <w:i/>
          <w:sz w:val="20"/>
        </w:rPr>
        <w:t>For DL transmission for sTTI</w:t>
      </w:r>
    </w:p>
    <w:p w14:paraId="5F399836" w14:textId="77777777" w:rsidR="00112035" w:rsidRPr="00D127A5" w:rsidRDefault="008830F5" w:rsidP="00D127A5">
      <w:pPr>
        <w:pStyle w:val="ListParagraph"/>
        <w:numPr>
          <w:ilvl w:val="1"/>
          <w:numId w:val="39"/>
        </w:numPr>
        <w:jc w:val="both"/>
        <w:rPr>
          <w:i/>
          <w:sz w:val="20"/>
        </w:rPr>
      </w:pPr>
      <w:r w:rsidRPr="00D127A5">
        <w:rPr>
          <w:rFonts w:eastAsiaTheme="minorEastAsia"/>
          <w:i/>
          <w:sz w:val="20"/>
        </w:rPr>
        <w:t>TM1, 2, 3, 4, 6, 9, 10 are supported for FS1.</w:t>
      </w:r>
    </w:p>
    <w:p w14:paraId="3F913479" w14:textId="77777777" w:rsidR="00112035" w:rsidRPr="00D127A5" w:rsidRDefault="008830F5" w:rsidP="00D127A5">
      <w:pPr>
        <w:pStyle w:val="ListParagraph"/>
        <w:numPr>
          <w:ilvl w:val="1"/>
          <w:numId w:val="39"/>
        </w:numPr>
        <w:jc w:val="both"/>
        <w:rPr>
          <w:i/>
          <w:sz w:val="20"/>
        </w:rPr>
      </w:pPr>
      <w:r w:rsidRPr="00D127A5">
        <w:rPr>
          <w:rFonts w:eastAsiaTheme="minorEastAsia"/>
          <w:i/>
          <w:sz w:val="20"/>
        </w:rPr>
        <w:t>TM1, 2, 3, 4, 6, 8, 9, 10 are supported for slot based sTTI for FS2.</w:t>
      </w:r>
    </w:p>
    <w:p w14:paraId="4096CC2A" w14:textId="5D1048D7" w:rsidR="00112035" w:rsidRPr="00D127A5" w:rsidRDefault="008830F5" w:rsidP="00D127A5">
      <w:pPr>
        <w:pStyle w:val="ListParagraph"/>
        <w:numPr>
          <w:ilvl w:val="1"/>
          <w:numId w:val="39"/>
        </w:numPr>
        <w:jc w:val="both"/>
        <w:rPr>
          <w:i/>
          <w:sz w:val="20"/>
        </w:rPr>
      </w:pPr>
      <w:r w:rsidRPr="00D127A5">
        <w:rPr>
          <w:rFonts w:eastAsiaTheme="minorEastAsia"/>
          <w:i/>
          <w:sz w:val="20"/>
        </w:rPr>
        <w:t>Note: For 2 symbol sTTI design TM8 is not supported in this WI</w:t>
      </w:r>
      <w:r w:rsidR="00D127A5" w:rsidRPr="00D127A5">
        <w:rPr>
          <w:rFonts w:eastAsiaTheme="minorEastAsia"/>
          <w:i/>
          <w:sz w:val="20"/>
        </w:rPr>
        <w:t>.</w:t>
      </w:r>
    </w:p>
    <w:p w14:paraId="19368023" w14:textId="68419E40" w:rsidR="00260E90" w:rsidRPr="00C12F18" w:rsidRDefault="00260E90" w:rsidP="00C12F18">
      <w:pPr>
        <w:jc w:val="both"/>
        <w:rPr>
          <w:b/>
          <w:u w:val="single"/>
        </w:rPr>
      </w:pPr>
      <w:r w:rsidRPr="00C12F18">
        <w:rPr>
          <w:b/>
          <w:highlight w:val="green"/>
          <w:u w:val="single"/>
        </w:rPr>
        <w:t>Agreement:</w:t>
      </w:r>
    </w:p>
    <w:p w14:paraId="5ADE6C28" w14:textId="5B6F44BE" w:rsidR="00260E90" w:rsidRPr="00C12F18" w:rsidRDefault="00260E90" w:rsidP="00C12F18">
      <w:pPr>
        <w:pStyle w:val="ListParagraph"/>
        <w:numPr>
          <w:ilvl w:val="0"/>
          <w:numId w:val="39"/>
        </w:numPr>
        <w:rPr>
          <w:rFonts w:eastAsia="MS Mincho"/>
          <w:i/>
          <w:iCs/>
          <w:lang w:eastAsia="ja-JP"/>
        </w:rPr>
      </w:pPr>
      <w:r w:rsidRPr="00C12F18">
        <w:rPr>
          <w:rFonts w:eastAsia="MS Mincho"/>
          <w:i/>
          <w:iCs/>
          <w:sz w:val="20"/>
          <w:lang w:eastAsia="ja-JP"/>
        </w:rPr>
        <w:t>For 7-symbol sTTI, 8-layer transmission is not supported for DMRS based sPDSCH.</w:t>
      </w:r>
    </w:p>
    <w:p w14:paraId="4C892488" w14:textId="77777777" w:rsidR="00D127A5" w:rsidRPr="00D127A5" w:rsidRDefault="00D127A5" w:rsidP="00C12F18">
      <w:pPr>
        <w:jc w:val="both"/>
      </w:pPr>
    </w:p>
    <w:p w14:paraId="0B6C83FD" w14:textId="5478952D" w:rsidR="00D127A5" w:rsidRDefault="00D127A5" w:rsidP="00D127A5">
      <w:pPr>
        <w:jc w:val="both"/>
      </w:pPr>
      <w:r>
        <w:t>In this contribution paper, we present the following</w:t>
      </w:r>
      <w:r w:rsidR="001F71A4">
        <w:t xml:space="preserve"> remaining</w:t>
      </w:r>
      <w:r>
        <w:t xml:space="preserve"> topics related to the design of sPDSCH in low latency LTE systems:</w:t>
      </w:r>
    </w:p>
    <w:p w14:paraId="02D827F5" w14:textId="299284D7" w:rsidR="00D127A5" w:rsidRPr="00932C4B" w:rsidRDefault="00D127A5" w:rsidP="00D127A5">
      <w:pPr>
        <w:pStyle w:val="ListParagraph"/>
        <w:numPr>
          <w:ilvl w:val="0"/>
          <w:numId w:val="43"/>
        </w:numPr>
        <w:jc w:val="both"/>
        <w:rPr>
          <w:sz w:val="20"/>
        </w:rPr>
      </w:pPr>
      <w:r w:rsidRPr="00932C4B">
        <w:rPr>
          <w:sz w:val="20"/>
        </w:rPr>
        <w:t>sPDSCH resource allocation</w:t>
      </w:r>
    </w:p>
    <w:p w14:paraId="3A3F4DA5" w14:textId="73E4E57E" w:rsidR="00D127A5" w:rsidRPr="00932C4B" w:rsidRDefault="00D127A5" w:rsidP="00D127A5">
      <w:pPr>
        <w:pStyle w:val="ListParagraph"/>
        <w:numPr>
          <w:ilvl w:val="0"/>
          <w:numId w:val="43"/>
        </w:numPr>
        <w:jc w:val="both"/>
        <w:rPr>
          <w:sz w:val="20"/>
        </w:rPr>
      </w:pPr>
      <w:r w:rsidRPr="00932C4B">
        <w:rPr>
          <w:sz w:val="20"/>
        </w:rPr>
        <w:t>TBS scaling</w:t>
      </w:r>
    </w:p>
    <w:p w14:paraId="2D2B6B7F" w14:textId="27ECCE57" w:rsidR="00D127A5" w:rsidRDefault="00932C4B" w:rsidP="00F30894">
      <w:pPr>
        <w:pStyle w:val="ListParagraph"/>
        <w:numPr>
          <w:ilvl w:val="0"/>
          <w:numId w:val="43"/>
        </w:numPr>
        <w:jc w:val="both"/>
        <w:rPr>
          <w:sz w:val="20"/>
        </w:rPr>
      </w:pPr>
      <w:r w:rsidRPr="00932C4B">
        <w:rPr>
          <w:sz w:val="20"/>
        </w:rPr>
        <w:t>Number of CWs and Layers.</w:t>
      </w:r>
    </w:p>
    <w:p w14:paraId="42B4A849" w14:textId="356A45A4" w:rsidR="001F71A4" w:rsidRPr="00932C4B" w:rsidRDefault="001F71A4" w:rsidP="00F30894">
      <w:pPr>
        <w:pStyle w:val="ListParagraph"/>
        <w:numPr>
          <w:ilvl w:val="0"/>
          <w:numId w:val="43"/>
        </w:numPr>
        <w:jc w:val="both"/>
        <w:rPr>
          <w:sz w:val="20"/>
        </w:rPr>
      </w:pPr>
      <w:r>
        <w:rPr>
          <w:sz w:val="20"/>
        </w:rPr>
        <w:t>Providing interference diversity for sPDSCH</w:t>
      </w:r>
    </w:p>
    <w:p w14:paraId="488AD007" w14:textId="77777777" w:rsidR="00491EEE" w:rsidRDefault="00491EEE" w:rsidP="00F30894">
      <w:pPr>
        <w:pStyle w:val="Heading1"/>
        <w:jc w:val="both"/>
      </w:pPr>
      <w:r w:rsidRPr="00CC27F5">
        <w:t>2</w:t>
      </w:r>
      <w:r w:rsidRPr="00CC27F5">
        <w:tab/>
      </w:r>
      <w:r w:rsidR="002E53CF">
        <w:t>Discussion</w:t>
      </w:r>
    </w:p>
    <w:p w14:paraId="07F50599" w14:textId="7EDF572A" w:rsidR="006034B0" w:rsidRDefault="006034B0" w:rsidP="006034B0">
      <w:pPr>
        <w:pStyle w:val="Heading3"/>
        <w:keepNext/>
        <w:keepLines/>
        <w:numPr>
          <w:ilvl w:val="1"/>
          <w:numId w:val="44"/>
        </w:numPr>
        <w:jc w:val="both"/>
      </w:pPr>
      <w:r>
        <w:t xml:space="preserve">   </w:t>
      </w:r>
      <w:r w:rsidR="001F71A4">
        <w:t xml:space="preserve">Resource Management Block (RMB) for sPUSCH Scheduling </w:t>
      </w:r>
    </w:p>
    <w:p w14:paraId="52ECD095" w14:textId="591FE4E3" w:rsidR="00030CDB" w:rsidRDefault="006034B0" w:rsidP="006034B0">
      <w:pPr>
        <w:jc w:val="both"/>
        <w:rPr>
          <w:lang w:val="en-GB"/>
        </w:rPr>
      </w:pPr>
      <w:r w:rsidRPr="006034B0">
        <w:rPr>
          <w:lang w:val="en-GB"/>
        </w:rPr>
        <w:t xml:space="preserve">As the TTI length reduces, there are specific challenges with the data channel design. The design should efficiently support multiple sTTI users accessing the sPDSCH simultaneously. </w:t>
      </w:r>
      <w:r w:rsidR="00030CDB" w:rsidRPr="006034B0">
        <w:rPr>
          <w:lang w:val="en-GB"/>
        </w:rPr>
        <w:t>Additionally,</w:t>
      </w:r>
      <w:r w:rsidRPr="006034B0">
        <w:rPr>
          <w:lang w:val="en-GB"/>
        </w:rPr>
        <w:t xml:space="preserve"> specification of sPDSCH resources must be minimized to prevent large sPDCCH payload resulting in unacceptab</w:t>
      </w:r>
      <w:r w:rsidR="00FD3D6F">
        <w:rPr>
          <w:lang w:val="en-GB"/>
        </w:rPr>
        <w:t xml:space="preserve">le control overhead. Allocation </w:t>
      </w:r>
      <w:r w:rsidRPr="006034B0">
        <w:rPr>
          <w:lang w:val="en-GB"/>
        </w:rPr>
        <w:t>of sPDSCH resources into defined blocks of separate data regions</w:t>
      </w:r>
      <w:r w:rsidR="00030CDB">
        <w:rPr>
          <w:lang w:val="en-GB"/>
        </w:rPr>
        <w:t>,</w:t>
      </w:r>
      <w:r w:rsidRPr="006034B0">
        <w:rPr>
          <w:lang w:val="en-GB"/>
        </w:rPr>
        <w:t xml:space="preserve"> wherein 1 or more users can access either 1, multiple, or all of the defined sTTI data blocks</w:t>
      </w:r>
      <w:r w:rsidR="00DC4A38">
        <w:rPr>
          <w:lang w:val="en-GB"/>
        </w:rPr>
        <w:t xml:space="preserve"> should therefore be considered</w:t>
      </w:r>
      <w:r w:rsidRPr="006034B0">
        <w:rPr>
          <w:lang w:val="en-GB"/>
        </w:rPr>
        <w:t xml:space="preserve">. </w:t>
      </w:r>
      <w:r w:rsidR="00030CDB">
        <w:rPr>
          <w:lang w:val="en-GB"/>
        </w:rPr>
        <w:t xml:space="preserve">For these reasons, a resource management block (RMB) concept can be adopted as a minimum resource unit for resource allocation in the DL of an sTTI operation, where each RMB </w:t>
      </w:r>
      <w:r w:rsidR="00BA6C88">
        <w:rPr>
          <w:lang w:val="en-GB"/>
        </w:rPr>
        <w:t>comprises</w:t>
      </w:r>
      <w:r w:rsidR="00030CDB">
        <w:rPr>
          <w:lang w:val="en-GB"/>
        </w:rPr>
        <w:t xml:space="preserve"> a set of RBs which could be distributed across the system bandwidth or could be consecutive. In general, different RMBs can be of different sizes, or can be defined based on a collection of RBGs as adopted in the legacy LTE. For this latter approach, consider a system bandwidth of 10MHz, wherein each RBG consists of </w:t>
      </w:r>
      <m:oMath>
        <m:r>
          <w:rPr>
            <w:rFonts w:ascii="Cambria Math" w:hAnsi="Cambria Math"/>
            <w:lang w:val="en-GB"/>
          </w:rPr>
          <m:t>P=3</m:t>
        </m:r>
      </m:oMath>
      <w:r w:rsidR="00030CDB">
        <w:rPr>
          <w:lang w:val="en-GB"/>
        </w:rPr>
        <w:t xml:space="preserve"> consecutive RBs. Hence, 17 RBGs can be defined. These 17 RBGs can be used to form three RMBs, where for each of them, either the constituent RBGs are consecutive or distributed (for example, following RAT1) as shown in the figures below. </w:t>
      </w:r>
    </w:p>
    <w:p w14:paraId="4ABA598B" w14:textId="77777777" w:rsidR="00BA6C88" w:rsidRDefault="00BA6C88" w:rsidP="006034B0">
      <w:pPr>
        <w:jc w:val="both"/>
        <w:rPr>
          <w:lang w:val="en-GB"/>
        </w:rPr>
      </w:pPr>
    </w:p>
    <w:p w14:paraId="3C02F7EE" w14:textId="77777777" w:rsidR="00BA6C88" w:rsidRDefault="00BA6C88" w:rsidP="00C12F18">
      <w:pPr>
        <w:keepNext/>
        <w:jc w:val="center"/>
      </w:pPr>
      <w:r w:rsidRPr="00BA6C88">
        <w:rPr>
          <w:noProof/>
        </w:rPr>
        <w:lastRenderedPageBreak/>
        <w:drawing>
          <wp:inline distT="0" distB="0" distL="0" distR="0" wp14:anchorId="02816567" wp14:editId="3F0B1D61">
            <wp:extent cx="5660997" cy="124795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7745" cy="1258256"/>
                    </a:xfrm>
                    <a:prstGeom prst="rect">
                      <a:avLst/>
                    </a:prstGeom>
                    <a:noFill/>
                    <a:ln>
                      <a:noFill/>
                    </a:ln>
                  </pic:spPr>
                </pic:pic>
              </a:graphicData>
            </a:graphic>
          </wp:inline>
        </w:drawing>
      </w:r>
    </w:p>
    <w:p w14:paraId="542BCD2A" w14:textId="3CBFD6DF" w:rsidR="00030CDB" w:rsidRDefault="00BA6C88" w:rsidP="00C12F18">
      <w:pPr>
        <w:pStyle w:val="Caption"/>
        <w:jc w:val="center"/>
        <w:rPr>
          <w:lang w:val="en-GB"/>
        </w:rPr>
      </w:pPr>
      <w:r>
        <w:t xml:space="preserve">Figure </w:t>
      </w:r>
      <w:r>
        <w:fldChar w:fldCharType="begin"/>
      </w:r>
      <w:r>
        <w:instrText xml:space="preserve"> SEQ Figure \* ARABIC </w:instrText>
      </w:r>
      <w:r>
        <w:fldChar w:fldCharType="separate"/>
      </w:r>
      <w:r w:rsidR="00DA74E7">
        <w:rPr>
          <w:noProof/>
        </w:rPr>
        <w:t>1</w:t>
      </w:r>
      <w:r>
        <w:fldChar w:fldCharType="end"/>
      </w:r>
      <w:r>
        <w:t>: An example of 3 consecutive RMBs formed over a 10MHz system bandwidth.</w:t>
      </w:r>
    </w:p>
    <w:p w14:paraId="77D53A40" w14:textId="1073D35E" w:rsidR="00BA6C88" w:rsidRDefault="00260E90" w:rsidP="00C12F18">
      <w:pPr>
        <w:keepNext/>
        <w:jc w:val="center"/>
      </w:pPr>
      <w:r w:rsidRPr="00BA6C88">
        <w:object w:dxaOrig="24674" w:dyaOrig="7879" w14:anchorId="1E5D0EC8">
          <v:shape id="_x0000_i1026" type="#_x0000_t75" style="width:441.75pt;height:141pt" o:ole="">
            <v:imagedata r:id="rId14" o:title=""/>
          </v:shape>
          <o:OLEObject Type="Embed" ProgID="Visio.Drawing.11" ShapeID="_x0000_i1026" DrawAspect="Content" ObjectID="_1555504305" r:id="rId15"/>
        </w:object>
      </w:r>
    </w:p>
    <w:p w14:paraId="6B3529FC" w14:textId="3A40B627" w:rsidR="00BA6C88" w:rsidRDefault="00BA6C88" w:rsidP="00C12F18">
      <w:pPr>
        <w:pStyle w:val="Caption"/>
        <w:jc w:val="center"/>
        <w:rPr>
          <w:lang w:val="en-GB"/>
        </w:rPr>
      </w:pPr>
      <w:r>
        <w:t xml:space="preserve">Figure </w:t>
      </w:r>
      <w:r>
        <w:fldChar w:fldCharType="begin"/>
      </w:r>
      <w:r>
        <w:instrText xml:space="preserve"> SEQ Figure \* ARABIC </w:instrText>
      </w:r>
      <w:r>
        <w:fldChar w:fldCharType="separate"/>
      </w:r>
      <w:r w:rsidR="00DA74E7">
        <w:rPr>
          <w:noProof/>
        </w:rPr>
        <w:t>2</w:t>
      </w:r>
      <w:r>
        <w:fldChar w:fldCharType="end"/>
      </w:r>
      <w:r>
        <w:t>: An example of 3 distributed</w:t>
      </w:r>
      <w:r w:rsidRPr="00E24E9E">
        <w:t xml:space="preserve"> RMBs formed over a 10MHz system bandwidth.</w:t>
      </w:r>
    </w:p>
    <w:p w14:paraId="063854D7" w14:textId="77777777" w:rsidR="00BA6C88" w:rsidRDefault="00BA6C88" w:rsidP="006034B0">
      <w:pPr>
        <w:jc w:val="both"/>
        <w:rPr>
          <w:lang w:val="en-GB"/>
        </w:rPr>
      </w:pPr>
    </w:p>
    <w:p w14:paraId="5BEE6719" w14:textId="06972C58" w:rsidR="00BA6C88" w:rsidRDefault="006034B0" w:rsidP="006034B0">
      <w:pPr>
        <w:jc w:val="both"/>
        <w:rPr>
          <w:lang w:val="en-GB"/>
        </w:rPr>
      </w:pPr>
      <w:r w:rsidRPr="006034B0">
        <w:rPr>
          <w:lang w:val="en-GB"/>
        </w:rPr>
        <w:t xml:space="preserve">Additionally, </w:t>
      </w:r>
      <w:r w:rsidR="00BA6C88">
        <w:rPr>
          <w:lang w:val="en-GB"/>
        </w:rPr>
        <w:t>each RMB may contain one or multiple control RB sets. For RMB1 shown in Figure 2, one RB set is illustrated in the figure below:</w:t>
      </w:r>
    </w:p>
    <w:p w14:paraId="39B15D2E" w14:textId="76F2C8EA" w:rsidR="00DA74E7" w:rsidRDefault="00260E90" w:rsidP="00C12F18">
      <w:pPr>
        <w:keepNext/>
        <w:jc w:val="both"/>
      </w:pPr>
      <w:r>
        <w:rPr>
          <w:lang w:val="en-GB"/>
        </w:rPr>
        <w:object w:dxaOrig="23234" w:dyaOrig="5275" w14:anchorId="30538E93">
          <v:shape id="_x0000_i1027" type="#_x0000_t75" style="width:476.25pt;height:114.75pt" o:ole="">
            <v:imagedata r:id="rId16" o:title=""/>
          </v:shape>
          <o:OLEObject Type="Embed" ProgID="Visio.Drawing.11" ShapeID="_x0000_i1027" DrawAspect="Content" ObjectID="_1555504306" r:id="rId17"/>
        </w:object>
      </w:r>
    </w:p>
    <w:p w14:paraId="6450775D" w14:textId="65936FE5" w:rsidR="00DA74E7" w:rsidRDefault="00DA74E7" w:rsidP="00C12F18">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An example of one control RB set within RMB1</w:t>
      </w:r>
    </w:p>
    <w:p w14:paraId="3A5D44A6" w14:textId="730C1F0E" w:rsidR="006034B0" w:rsidRPr="006034B0" w:rsidRDefault="006034B0" w:rsidP="006034B0">
      <w:pPr>
        <w:jc w:val="both"/>
        <w:rPr>
          <w:lang w:val="en-GB"/>
        </w:rPr>
      </w:pPr>
    </w:p>
    <w:p w14:paraId="56152100" w14:textId="7081E879" w:rsidR="006034B0" w:rsidRDefault="006034B0">
      <w:pPr>
        <w:jc w:val="both"/>
      </w:pPr>
      <w:r w:rsidRPr="006034B0">
        <w:rPr>
          <w:lang w:val="en-GB"/>
        </w:rPr>
        <w:t xml:space="preserve">The </w:t>
      </w:r>
      <w:r w:rsidR="00DA74E7">
        <w:rPr>
          <w:lang w:val="en-GB"/>
        </w:rPr>
        <w:t>RMB</w:t>
      </w:r>
      <w:r w:rsidRPr="006034B0">
        <w:rPr>
          <w:lang w:val="en-GB"/>
        </w:rPr>
        <w:t xml:space="preserve"> structure can be semi-statically defined via higher layer signalling. This allows for a baseline resource structure that (1) does not consume legacy PDCCH or sPDCCH resource overhead to define, (2) can allow for multiple UEs to access an sTTI resource at the same time, (3) can allow for a UE to be flexibly allocated a variable allocation of sPDSCH resources within the same TTI, and (4) can be modified and changed as needed by the eNB via higher layer signalling.</w:t>
      </w:r>
      <w:r w:rsidR="00DA74E7" w:rsidDel="00DA74E7">
        <w:rPr>
          <w:lang w:val="en-GB"/>
        </w:rPr>
        <w:t xml:space="preserve"> </w:t>
      </w:r>
    </w:p>
    <w:p w14:paraId="039FDB30" w14:textId="43140582" w:rsidR="006034B0" w:rsidRDefault="006034B0" w:rsidP="006034B0">
      <w:pPr>
        <w:jc w:val="both"/>
      </w:pPr>
      <w:r>
        <w:t>The sTTI duration is fixed within a</w:t>
      </w:r>
      <w:r w:rsidR="00DA74E7">
        <w:t>n RMB</w:t>
      </w:r>
      <w:r>
        <w:t xml:space="preserve">. However, multiple </w:t>
      </w:r>
      <w:r w:rsidR="00DA74E7">
        <w:t>RMBs</w:t>
      </w:r>
      <w:r>
        <w:t xml:space="preserve"> that are configured with the same sTTI length can be jointly scheduled to a particular user in a given sTTI period, and this information is conveyed in the sPDCCH channel. Note that for</w:t>
      </w:r>
      <w:r w:rsidR="00DA74E7">
        <w:t xml:space="preserve"> a</w:t>
      </w:r>
      <w:r>
        <w:t xml:space="preserve"> </w:t>
      </w:r>
      <w:r w:rsidR="00DA74E7">
        <w:t>1-</w:t>
      </w:r>
      <w:r>
        <w:t xml:space="preserve">slot sTTI, </w:t>
      </w:r>
      <w:r w:rsidR="00DA74E7">
        <w:t>RMB-</w:t>
      </w:r>
      <w:r>
        <w:t xml:space="preserve">based resource allocation may also be adopted, although the </w:t>
      </w:r>
      <w:r w:rsidR="00DA74E7">
        <w:t>RMB</w:t>
      </w:r>
      <w:r>
        <w:t xml:space="preserve"> size for</w:t>
      </w:r>
      <w:r w:rsidR="00DA74E7">
        <w:t>1-</w:t>
      </w:r>
      <w:r>
        <w:t xml:space="preserve"> slot sTTI and 2-symbol sTTI should generally be different. As an example, the resource allocation granularity for </w:t>
      </w:r>
      <w:r w:rsidR="00DA74E7">
        <w:t>1-</w:t>
      </w:r>
      <w:r>
        <w:t xml:space="preserve">slot sTTI can be double that of legacy 1-ms TTI based scheduling (e.g., </w:t>
      </w:r>
      <w:r w:rsidR="00DA74E7">
        <w:t>each RMB could comprise of 2 RBs</w:t>
      </w:r>
      <w:r>
        <w:t>).</w:t>
      </w:r>
      <w:r w:rsidR="00D61F29">
        <w:t xml:space="preserve"> </w:t>
      </w:r>
    </w:p>
    <w:p w14:paraId="60A9B2C1" w14:textId="72243520" w:rsidR="00DA74E7" w:rsidRPr="00775094" w:rsidRDefault="00DC4A38" w:rsidP="00DA74E7">
      <w:pPr>
        <w:jc w:val="both"/>
        <w:rPr>
          <w:b/>
        </w:rPr>
      </w:pPr>
      <w:r>
        <w:rPr>
          <w:b/>
        </w:rPr>
        <w:t xml:space="preserve">Proposal </w:t>
      </w:r>
      <w:r w:rsidR="00DA74E7">
        <w:rPr>
          <w:b/>
        </w:rPr>
        <w:t>1</w:t>
      </w:r>
      <w:r w:rsidR="006034B0" w:rsidRPr="006034B0">
        <w:rPr>
          <w:b/>
        </w:rPr>
        <w:t xml:space="preserve">: </w:t>
      </w:r>
      <w:r w:rsidR="00DA74E7">
        <w:rPr>
          <w:b/>
        </w:rPr>
        <w:t>For both 2-symbol and 1-slot sTTI operations,</w:t>
      </w:r>
      <w:r w:rsidR="00DA74E7" w:rsidRPr="00263EA2">
        <w:rPr>
          <w:b/>
        </w:rPr>
        <w:t xml:space="preserve"> </w:t>
      </w:r>
      <w:r w:rsidR="00DA74E7">
        <w:rPr>
          <w:b/>
        </w:rPr>
        <w:t>the DL resource assignment should be based on the RMB concept, where each RMB is defined as a set of either consecutive RBs (RBGs) or distributed RBs (RBGs), and different RMBs are non-overlapping.</w:t>
      </w:r>
    </w:p>
    <w:p w14:paraId="00D2D237" w14:textId="0F35D0E8" w:rsidR="00DC4A38" w:rsidRPr="00775094" w:rsidRDefault="00DC4A38" w:rsidP="006034B0">
      <w:pPr>
        <w:jc w:val="both"/>
        <w:rPr>
          <w:b/>
        </w:rPr>
      </w:pPr>
      <w:r>
        <w:rPr>
          <w:b/>
        </w:rPr>
        <w:t xml:space="preserve">Proposal </w:t>
      </w:r>
      <w:r w:rsidR="00DA74E7">
        <w:rPr>
          <w:b/>
        </w:rPr>
        <w:t>2</w:t>
      </w:r>
      <w:r>
        <w:rPr>
          <w:b/>
        </w:rPr>
        <w:t xml:space="preserve">: The </w:t>
      </w:r>
      <w:r w:rsidR="00DA74E7">
        <w:rPr>
          <w:b/>
        </w:rPr>
        <w:t xml:space="preserve">RMB </w:t>
      </w:r>
      <w:r>
        <w:rPr>
          <w:b/>
        </w:rPr>
        <w:t xml:space="preserve">structure </w:t>
      </w:r>
      <w:r w:rsidR="00DA74E7">
        <w:rPr>
          <w:b/>
        </w:rPr>
        <w:t>within each sTTI should be</w:t>
      </w:r>
      <w:r>
        <w:rPr>
          <w:b/>
        </w:rPr>
        <w:t xml:space="preserve"> configured via a higher layer signaling.</w:t>
      </w:r>
    </w:p>
    <w:p w14:paraId="294DF458" w14:textId="4DC2AED6" w:rsidR="006034B0" w:rsidRPr="007D58FC" w:rsidRDefault="00DA74E7" w:rsidP="006034B0">
      <w:pPr>
        <w:jc w:val="both"/>
        <w:rPr>
          <w:lang w:val="en-GB"/>
        </w:rPr>
      </w:pPr>
      <w:r>
        <w:rPr>
          <w:lang w:val="en-GB"/>
        </w:rPr>
        <w:lastRenderedPageBreak/>
        <w:t>It is worth mentioning that defining the RMBs based on the RBG concept allows for proper</w:t>
      </w:r>
      <w:r w:rsidRPr="006034B0">
        <w:rPr>
          <w:lang w:val="en-GB"/>
        </w:rPr>
        <w:t xml:space="preserve"> coexistence with legacy 1ms PDSCH allocations</w:t>
      </w:r>
      <w:r>
        <w:rPr>
          <w:lang w:val="en-GB"/>
        </w:rPr>
        <w:t xml:space="preserve">. </w:t>
      </w:r>
      <w:r w:rsidR="006034B0" w:rsidRPr="006034B0">
        <w:rPr>
          <w:lang w:val="en-GB"/>
        </w:rPr>
        <w:t>In</w:t>
      </w:r>
      <w:r w:rsidR="006034B0">
        <w:rPr>
          <w:lang w:val="en-GB"/>
        </w:rPr>
        <w:t xml:space="preserve"> many operational scenarios, sTTI users and legacy 1ms users can be FDM’ed efficiently without overlap. However, note that this </w:t>
      </w:r>
      <w:r>
        <w:rPr>
          <w:lang w:val="en-GB"/>
        </w:rPr>
        <w:t>RMB-based allocation</w:t>
      </w:r>
      <w:r w:rsidR="006034B0">
        <w:rPr>
          <w:lang w:val="en-GB"/>
        </w:rPr>
        <w:t xml:space="preserve"> design does not preclude </w:t>
      </w:r>
      <w:r>
        <w:rPr>
          <w:lang w:val="en-GB"/>
        </w:rPr>
        <w:t xml:space="preserve">the </w:t>
      </w:r>
      <w:r w:rsidR="006034B0">
        <w:rPr>
          <w:lang w:val="en-GB"/>
        </w:rPr>
        <w:t xml:space="preserve">support </w:t>
      </w:r>
      <w:r>
        <w:rPr>
          <w:lang w:val="en-GB"/>
        </w:rPr>
        <w:t>for</w:t>
      </w:r>
      <w:r w:rsidR="006034B0">
        <w:rPr>
          <w:lang w:val="en-GB"/>
        </w:rPr>
        <w:t xml:space="preserve"> dynamic 1ms PDSCH allocations that can overlap with the sTTI block structure. In a given sTTI, a low latency user may be assigned </w:t>
      </w:r>
      <w:r>
        <w:rPr>
          <w:lang w:val="en-GB"/>
        </w:rPr>
        <w:t>RMBs containing RBGs</w:t>
      </w:r>
      <w:r w:rsidR="006034B0">
        <w:rPr>
          <w:lang w:val="en-GB"/>
        </w:rPr>
        <w:t xml:space="preserve"> that may have been already assigned to a 1ms legacy PDSCH user. This operational scenario is shown in </w:t>
      </w:r>
      <w:r>
        <w:rPr>
          <w:lang w:val="en-GB"/>
        </w:rPr>
        <w:t>Figure 4</w:t>
      </w:r>
      <w:r w:rsidR="006034B0" w:rsidRPr="00F42969">
        <w:rPr>
          <w:lang w:val="en-GB"/>
        </w:rPr>
        <w:t>.</w:t>
      </w:r>
      <w:r w:rsidR="006034B0">
        <w:rPr>
          <w:lang w:val="en-GB"/>
        </w:rPr>
        <w:t xml:space="preserve">  </w:t>
      </w:r>
    </w:p>
    <w:p w14:paraId="2EA39190" w14:textId="77777777" w:rsidR="006034B0" w:rsidRDefault="006034B0" w:rsidP="006034B0">
      <w:pPr>
        <w:jc w:val="center"/>
      </w:pPr>
      <w:r>
        <w:object w:dxaOrig="6946" w:dyaOrig="4404" w14:anchorId="620E643C">
          <v:shape id="_x0000_i1029" type="#_x0000_t75" style="width:347.25pt;height:220.5pt" o:ole="">
            <v:imagedata r:id="rId18" o:title=""/>
          </v:shape>
          <o:OLEObject Type="Embed" ProgID="Visio.Drawing.11" ShapeID="_x0000_i1029" DrawAspect="Content" ObjectID="_1555504307" r:id="rId19"/>
        </w:object>
      </w:r>
    </w:p>
    <w:p w14:paraId="1F89A97C" w14:textId="3EDB0BFC" w:rsidR="00DA74E7" w:rsidRPr="00C12F18" w:rsidRDefault="006034B0" w:rsidP="00C12F18">
      <w:pPr>
        <w:jc w:val="center"/>
        <w:rPr>
          <w:b/>
        </w:rPr>
      </w:pPr>
      <w:bookmarkStart w:id="3" w:name="_Ref457291964"/>
      <w:bookmarkStart w:id="4" w:name="_Ref457291957"/>
      <w:r w:rsidRPr="0077611B">
        <w:t xml:space="preserve">Figure </w:t>
      </w:r>
      <w:bookmarkEnd w:id="3"/>
      <w:r w:rsidR="00DA74E7" w:rsidRPr="00C12F18">
        <w:rPr>
          <w:bCs/>
        </w:rPr>
        <w:t>4</w:t>
      </w:r>
      <w:r w:rsidRPr="0077611B">
        <w:t>: Coexistence of shortened TTI and Legacy 1ms users</w:t>
      </w:r>
      <w:bookmarkEnd w:id="4"/>
    </w:p>
    <w:p w14:paraId="1E68E6A0" w14:textId="77777777" w:rsidR="006034B0" w:rsidRPr="00D036BD" w:rsidRDefault="006034B0" w:rsidP="00C12F18">
      <w:pPr>
        <w:pStyle w:val="Caption"/>
        <w:jc w:val="center"/>
      </w:pPr>
    </w:p>
    <w:p w14:paraId="51A159EA" w14:textId="43B10D1D" w:rsidR="006034B0" w:rsidRPr="006034B0" w:rsidRDefault="006034B0" w:rsidP="006034B0">
      <w:pPr>
        <w:jc w:val="both"/>
      </w:pPr>
      <w:r w:rsidRPr="006034B0">
        <w:t xml:space="preserve">For this case, a transmission is made in the legacy PDCCH region that can indicate legacy 1ms PDSCH resources used within the subframe. A low latency user can receive this information at the start of the subframe, and if assigned a sTTI transmission during the subframe comprising a set of sTTI </w:t>
      </w:r>
      <w:r w:rsidR="00DA74E7">
        <w:t>RMBs</w:t>
      </w:r>
      <w:r w:rsidRPr="006034B0">
        <w:t>, will rate-match around the legacy PDSCH allocation when receiving both the sPDCCH and sPDSCH channels. This methodology effectively handles these collision cases between legacy and low latency users, at the expense of additional PDCCH overhead.  To mitigate the overhead and in light of the fact that the scheduling of legacy 1ms</w:t>
      </w:r>
      <w:r w:rsidR="00DA74E7">
        <w:t xml:space="preserve"> TTI</w:t>
      </w:r>
      <w:r w:rsidRPr="006034B0">
        <w:t xml:space="preserve"> may be bursty and may persist for a certain duration, the legacy resource information that is sent on the PDCCH can be configured to be sent with a particular periodicity. The magnitude of the periodicity can be correlated to how dynamic the DL legacy PDSCH resource allocation is at the eNB. In addition, the sPDCCH and sPDSCH will also rate match around the common signals, CRS/PSS/SSS/PBCH, as well as other RBs that are reserved via RRC signaling, such as NB-IOT resource allocations. </w:t>
      </w:r>
    </w:p>
    <w:p w14:paraId="3E8F63A4" w14:textId="7A50F137" w:rsidR="006034B0" w:rsidRDefault="00DC4A38" w:rsidP="00FB578A">
      <w:pPr>
        <w:jc w:val="both"/>
        <w:rPr>
          <w:b/>
          <w:lang w:val="en-GB"/>
        </w:rPr>
      </w:pPr>
      <w:r>
        <w:rPr>
          <w:b/>
          <w:lang w:val="en-GB"/>
        </w:rPr>
        <w:t xml:space="preserve">Proposal </w:t>
      </w:r>
      <w:r w:rsidR="00DA74E7">
        <w:rPr>
          <w:b/>
          <w:lang w:val="en-GB"/>
        </w:rPr>
        <w:t>3</w:t>
      </w:r>
      <w:r w:rsidR="006034B0" w:rsidRPr="006034B0">
        <w:rPr>
          <w:b/>
          <w:lang w:val="en-GB"/>
        </w:rPr>
        <w:t>: To efficiently support simultaneous legacy and low latency transmissions, information indicating the legacy resource usage within the subframe can be a combination of a dynamic PDCCH transmission with a preconfigured periodicity and a semi-static configuration. The low latency users can use this to rate match around these used legacy resources.</w:t>
      </w:r>
    </w:p>
    <w:p w14:paraId="4E86A4F9" w14:textId="77777777" w:rsidR="006034B0" w:rsidRDefault="006034B0" w:rsidP="006034B0">
      <w:pPr>
        <w:pStyle w:val="Heading3"/>
        <w:keepNext/>
        <w:keepLines/>
        <w:numPr>
          <w:ilvl w:val="1"/>
          <w:numId w:val="44"/>
        </w:numPr>
        <w:jc w:val="both"/>
      </w:pPr>
      <w:r>
        <w:t xml:space="preserve">   TBS Scaling for sTTI Operation</w:t>
      </w:r>
    </w:p>
    <w:p w14:paraId="27491B7E" w14:textId="0E42C976" w:rsidR="00171FD2" w:rsidRDefault="00093618" w:rsidP="00093618">
      <w:pPr>
        <w:jc w:val="both"/>
        <w:rPr>
          <w:lang w:val="en-GB"/>
        </w:rPr>
      </w:pPr>
      <w:r w:rsidRPr="00093618">
        <w:rPr>
          <w:lang w:val="en-GB"/>
        </w:rPr>
        <w:t xml:space="preserve">For the case of </w:t>
      </w:r>
      <w:r w:rsidR="0093629E">
        <w:rPr>
          <w:lang w:val="en-GB"/>
        </w:rPr>
        <w:t xml:space="preserve">a </w:t>
      </w:r>
      <w:r w:rsidRPr="00093618">
        <w:rPr>
          <w:lang w:val="en-GB"/>
        </w:rPr>
        <w:t xml:space="preserve">2-symbol sTTI, the allocation duration is now </w:t>
      </w:r>
      <w:r w:rsidR="0093629E">
        <w:rPr>
          <w:lang w:val="en-GB"/>
        </w:rPr>
        <w:t>6</w:t>
      </w:r>
      <w:r w:rsidR="0093629E" w:rsidRPr="00093618">
        <w:rPr>
          <w:lang w:val="en-GB"/>
        </w:rPr>
        <w:t xml:space="preserve"> </w:t>
      </w:r>
      <w:r w:rsidRPr="00093618">
        <w:rPr>
          <w:lang w:val="en-GB"/>
        </w:rPr>
        <w:t>time shorter on average relative to the 1 ms legacy transmission. Therefore</w:t>
      </w:r>
      <w:r w:rsidR="0093629E">
        <w:rPr>
          <w:lang w:val="en-GB"/>
        </w:rPr>
        <w:t>,</w:t>
      </w:r>
      <w:r w:rsidRPr="00093618">
        <w:rPr>
          <w:lang w:val="en-GB"/>
        </w:rPr>
        <w:t xml:space="preserve"> using the legacy TBS block sizing as is would incorrectly assume that there are more RE’s that are available than there actually would be. Clearly, one alternative is to create a new transport block size table specifically for 2-symbol sTTI allocations which maps MCS and PRB size to a revised transport block size. A simpler alternative is to scale the PRB size such that one may access the existing transport block sizing table</w:t>
      </w:r>
      <w:r w:rsidR="00171FD2">
        <w:rPr>
          <w:lang w:val="en-GB"/>
        </w:rPr>
        <w:t>.</w:t>
      </w:r>
    </w:p>
    <w:p w14:paraId="6638CE9B" w14:textId="2C19B6DB" w:rsidR="00093618" w:rsidRPr="00093618" w:rsidRDefault="00171FD2" w:rsidP="00093618">
      <w:pPr>
        <w:jc w:val="both"/>
        <w:rPr>
          <w:lang w:val="en-GB"/>
        </w:rPr>
      </w:pPr>
      <w:r>
        <w:rPr>
          <w:lang w:val="en-GB"/>
        </w:rPr>
        <w:t xml:space="preserve">To do this, it should be noted that </w:t>
      </w:r>
      <w:r w:rsidR="00093618" w:rsidRPr="00093618">
        <w:rPr>
          <w:lang w:val="en-GB"/>
        </w:rPr>
        <w:t>there are approximately 6 times more REs within one 1RB of 1ms TTI as compared to 1RB of a 2-symbol sTTI. Therefore, in order to use the transport block sizing table, we should divide the number of PRBs used for the 2</w:t>
      </w:r>
      <w:r w:rsidR="0093629E">
        <w:rPr>
          <w:lang w:val="en-GB"/>
        </w:rPr>
        <w:t>-</w:t>
      </w:r>
      <w:r w:rsidR="00093618" w:rsidRPr="00093618">
        <w:rPr>
          <w:lang w:val="en-GB"/>
        </w:rPr>
        <w:t>symbol sTTI by 6 to formulate the NPRB value to be used in the transport block size table. Given that the 2</w:t>
      </w:r>
      <w:r w:rsidR="0093629E">
        <w:rPr>
          <w:lang w:val="en-GB"/>
        </w:rPr>
        <w:t>-</w:t>
      </w:r>
      <w:r w:rsidR="00093618" w:rsidRPr="00093618">
        <w:rPr>
          <w:lang w:val="en-GB"/>
        </w:rPr>
        <w:t xml:space="preserve">symbol sTTI PRB sizing is not always a multiple of 6, a floor function should be placed on the division to ensure that a sufficient code rate is achieved with the selected transport block size. Also, the minimum NPRB sizing should be no smaller than 1 PRB. </w:t>
      </w:r>
      <w:r w:rsidR="0093629E">
        <w:rPr>
          <w:lang w:val="en-GB"/>
        </w:rPr>
        <w:t>Thus,</w:t>
      </w:r>
      <w:r w:rsidR="00093618" w:rsidRPr="00093618">
        <w:rPr>
          <w:lang w:val="en-GB"/>
        </w:rPr>
        <w:t xml:space="preserve"> given NPRB_2sym_sTTI, the NPRB value that should be used to index into the transport block size table is given as:</w:t>
      </w:r>
    </w:p>
    <w:p w14:paraId="2C5AEBF3" w14:textId="2643A93F" w:rsidR="00093618" w:rsidRPr="00093618" w:rsidRDefault="00093618" w:rsidP="00093618">
      <w:pPr>
        <w:jc w:val="center"/>
        <w:rPr>
          <w:lang w:val="en-GB"/>
        </w:rPr>
      </w:pPr>
      <w:r w:rsidRPr="00093618">
        <w:rPr>
          <w:lang w:val="en-GB"/>
        </w:rPr>
        <w:lastRenderedPageBreak/>
        <w:t xml:space="preserve">NPRB  = max( </w:t>
      </w:r>
      <w:r w:rsidRPr="00093618">
        <w:rPr>
          <w:lang w:val="en-GB"/>
        </w:rPr>
        <w:sym w:font="Symbol" w:char="F0EB"/>
      </w:r>
      <w:r w:rsidRPr="00093618">
        <w:rPr>
          <w:lang w:val="en-GB"/>
        </w:rPr>
        <w:t>NPRB_2sym_sTTI / 6</w:t>
      </w:r>
      <w:r w:rsidRPr="00093618">
        <w:rPr>
          <w:lang w:val="en-GB"/>
        </w:rPr>
        <w:sym w:font="Symbol" w:char="F0FB"/>
      </w:r>
      <w:r w:rsidRPr="00093618">
        <w:rPr>
          <w:lang w:val="en-GB"/>
        </w:rPr>
        <w:t>, 1)</w:t>
      </w:r>
      <w:r>
        <w:rPr>
          <w:lang w:val="en-GB"/>
        </w:rPr>
        <w:t>.</w:t>
      </w:r>
    </w:p>
    <w:p w14:paraId="371A8260" w14:textId="77777777" w:rsidR="00093618" w:rsidRPr="00093618" w:rsidRDefault="00093618" w:rsidP="00093618">
      <w:pPr>
        <w:jc w:val="both"/>
        <w:rPr>
          <w:lang w:val="en-GB"/>
        </w:rPr>
      </w:pPr>
      <w:r w:rsidRPr="00093618">
        <w:rPr>
          <w:lang w:val="en-GB"/>
        </w:rPr>
        <w:t>Note that for a 2-symbol sTTI, there are different data and reference signal configurations. For the case of 3 data symbols, it is proposed to maintain the equation above, so that the soft buffer sizing and/or HARQ timing does not require an increase. For the case of an sTTI with one data symbols and one DMRS symbol, an additional scale factor of ½ should be included so that the effective code rate is normalized between the 1 and 2 data symbol cases. This scaling is given by:</w:t>
      </w:r>
    </w:p>
    <w:p w14:paraId="0F086017" w14:textId="4A4DD07A" w:rsidR="00093618" w:rsidRPr="00093618" w:rsidRDefault="00093618" w:rsidP="00093618">
      <w:pPr>
        <w:jc w:val="center"/>
        <w:rPr>
          <w:lang w:val="en-GB"/>
        </w:rPr>
      </w:pPr>
      <w:r w:rsidRPr="00093618">
        <w:rPr>
          <w:lang w:val="en-GB"/>
        </w:rPr>
        <w:t xml:space="preserve">NPRB  = max( </w:t>
      </w:r>
      <w:r w:rsidRPr="00093618">
        <w:rPr>
          <w:lang w:val="en-GB"/>
        </w:rPr>
        <w:sym w:font="Symbol" w:char="F0EB"/>
      </w:r>
      <w:r w:rsidRPr="00093618">
        <w:rPr>
          <w:lang w:val="en-GB"/>
        </w:rPr>
        <w:t>NPRB_2sym_sTTI / 12</w:t>
      </w:r>
      <w:r w:rsidRPr="00093618">
        <w:rPr>
          <w:lang w:val="en-GB"/>
        </w:rPr>
        <w:sym w:font="Symbol" w:char="F0FB"/>
      </w:r>
      <w:r w:rsidRPr="00093618">
        <w:rPr>
          <w:lang w:val="en-GB"/>
        </w:rPr>
        <w:t>, 1)</w:t>
      </w:r>
      <w:r>
        <w:rPr>
          <w:lang w:val="en-GB"/>
        </w:rPr>
        <w:t>.</w:t>
      </w:r>
    </w:p>
    <w:p w14:paraId="42E80012" w14:textId="77777777" w:rsidR="0077611B" w:rsidRDefault="0077611B" w:rsidP="0077611B">
      <w:pPr>
        <w:jc w:val="both"/>
        <w:rPr>
          <w:lang w:val="en-GB"/>
        </w:rPr>
      </w:pPr>
      <w:r>
        <w:rPr>
          <w:lang w:val="en-GB"/>
        </w:rPr>
        <w:t>To obtain the TBS for a 1-slot sTTI, it should first be noted that the set of legacy TBSs is obtained by assuming fixed control and RS overhead per RB (3 symbols for PDCCH and a 2-port CRS are assumed.) Due to these assumptions, the TBS for the 1</w:t>
      </w:r>
      <w:r w:rsidRPr="00FF1CDF">
        <w:rPr>
          <w:vertAlign w:val="superscript"/>
          <w:lang w:val="en-GB"/>
        </w:rPr>
        <w:t>st</w:t>
      </w:r>
      <w:r>
        <w:rPr>
          <w:lang w:val="en-GB"/>
        </w:rPr>
        <w:t xml:space="preserve"> and 2</w:t>
      </w:r>
      <w:r w:rsidRPr="00FF1CDF">
        <w:rPr>
          <w:vertAlign w:val="superscript"/>
          <w:lang w:val="en-GB"/>
        </w:rPr>
        <w:t>nd</w:t>
      </w:r>
      <w:r>
        <w:rPr>
          <w:lang w:val="en-GB"/>
        </w:rPr>
        <w:t xml:space="preserve"> slots of a subframe can be determined differently. As an example, we can assume that the number of REs over the 2</w:t>
      </w:r>
      <w:r w:rsidRPr="00FF1CDF">
        <w:rPr>
          <w:vertAlign w:val="superscript"/>
          <w:lang w:val="en-GB"/>
        </w:rPr>
        <w:t>nd</w:t>
      </w:r>
      <w:r>
        <w:rPr>
          <w:lang w:val="en-GB"/>
        </w:rPr>
        <w:t xml:space="preserve"> slot of a subframe</w:t>
      </w:r>
      <w:r w:rsidRPr="00D6284F">
        <w:rPr>
          <w:lang w:val="en-GB"/>
        </w:rPr>
        <w:t xml:space="preserve"> is half the number of REs in one RB of a 1ms TTI</w:t>
      </w:r>
      <w:r>
        <w:rPr>
          <w:lang w:val="en-GB"/>
        </w:rPr>
        <w:t>. Then, for slot 1, we have:</w:t>
      </w:r>
    </w:p>
    <w:p w14:paraId="59578BED" w14:textId="77777777" w:rsidR="0077611B" w:rsidRDefault="0077611B" w:rsidP="0077611B">
      <w:pPr>
        <w:jc w:val="center"/>
        <w:rPr>
          <w:lang w:val="en-GB"/>
        </w:rPr>
      </w:pPr>
      <w:r w:rsidRPr="00D6284F">
        <w:rPr>
          <w:lang w:val="en-GB"/>
        </w:rPr>
        <w:t>#PRB  = max(</w:t>
      </w:r>
      <w:r w:rsidRPr="00263EA2">
        <w:rPr>
          <w:lang w:val="en-GB"/>
        </w:rPr>
        <w:sym w:font="Symbol" w:char="F0EB"/>
      </w:r>
      <w:r w:rsidRPr="00D6284F">
        <w:rPr>
          <w:lang w:val="en-GB"/>
        </w:rPr>
        <w:t>#PRB_slot_sTTI / 2</w:t>
      </w:r>
      <w:r w:rsidRPr="00263EA2">
        <w:rPr>
          <w:lang w:val="en-GB"/>
        </w:rPr>
        <w:sym w:font="Symbol" w:char="F0FB"/>
      </w:r>
      <w:r w:rsidRPr="00D6284F">
        <w:rPr>
          <w:lang w:val="en-GB"/>
        </w:rPr>
        <w:t>, 1).</w:t>
      </w:r>
    </w:p>
    <w:p w14:paraId="0E9FF7B0" w14:textId="77777777" w:rsidR="0077611B" w:rsidRDefault="0077611B" w:rsidP="0077611B">
      <w:pPr>
        <w:jc w:val="both"/>
        <w:rPr>
          <w:lang w:val="en-GB"/>
        </w:rPr>
      </w:pPr>
      <w:r>
        <w:rPr>
          <w:lang w:val="en-GB"/>
        </w:rPr>
        <w:t>The TBS for slot 0 then can be obtained by accounting for the PDCCH overhead. For example, a 2-symbol PDCCH can be assumed. In that case, for slot 0, we have:</w:t>
      </w:r>
    </w:p>
    <w:p w14:paraId="29EDE6B1" w14:textId="77777777" w:rsidR="0077611B" w:rsidRPr="00D6284F" w:rsidRDefault="0077611B" w:rsidP="0077611B">
      <w:pPr>
        <w:jc w:val="center"/>
        <w:rPr>
          <w:lang w:val="en-GB"/>
        </w:rPr>
      </w:pPr>
      <w:r w:rsidRPr="00D6284F">
        <w:rPr>
          <w:lang w:val="en-GB"/>
        </w:rPr>
        <w:t>#PRB  = max(</w:t>
      </w:r>
      <w:r w:rsidRPr="00263EA2">
        <w:rPr>
          <w:lang w:val="en-GB"/>
        </w:rPr>
        <w:sym w:font="Symbol" w:char="F0EB"/>
      </w:r>
      <w:r>
        <w:rPr>
          <w:lang w:val="en-GB"/>
        </w:rPr>
        <w:t>5*#PRB_slot_sTTI / 14</w:t>
      </w:r>
      <w:r w:rsidRPr="00263EA2">
        <w:rPr>
          <w:lang w:val="en-GB"/>
        </w:rPr>
        <w:sym w:font="Symbol" w:char="F0FB"/>
      </w:r>
      <w:r w:rsidRPr="00D6284F">
        <w:rPr>
          <w:lang w:val="en-GB"/>
        </w:rPr>
        <w:t>, 1).</w:t>
      </w:r>
    </w:p>
    <w:p w14:paraId="0D089FA1" w14:textId="42418A51" w:rsidR="00DC4A38" w:rsidRDefault="00093618" w:rsidP="00171FD2">
      <w:pPr>
        <w:jc w:val="both"/>
        <w:rPr>
          <w:b/>
          <w:lang w:val="en-GB"/>
        </w:rPr>
      </w:pPr>
      <w:r>
        <w:rPr>
          <w:b/>
          <w:lang w:val="en-GB"/>
        </w:rPr>
        <w:t xml:space="preserve">Proposal </w:t>
      </w:r>
      <w:r w:rsidR="0093629E">
        <w:rPr>
          <w:b/>
          <w:lang w:val="en-GB"/>
        </w:rPr>
        <w:t>4</w:t>
      </w:r>
      <w:r w:rsidRPr="00093618">
        <w:rPr>
          <w:b/>
          <w:lang w:val="en-GB"/>
        </w:rPr>
        <w:t xml:space="preserve">: For </w:t>
      </w:r>
      <w:r w:rsidR="00481B27">
        <w:rPr>
          <w:b/>
          <w:lang w:val="en-GB"/>
        </w:rPr>
        <w:t xml:space="preserve">determining the </w:t>
      </w:r>
      <w:r w:rsidRPr="00093618">
        <w:rPr>
          <w:b/>
          <w:lang w:val="en-GB"/>
        </w:rPr>
        <w:t xml:space="preserve">TBS of </w:t>
      </w:r>
      <w:r w:rsidR="00481B27">
        <w:rPr>
          <w:b/>
          <w:lang w:val="en-GB"/>
        </w:rPr>
        <w:t>a 2-symbol sTTI in the DL</w:t>
      </w:r>
      <w:r w:rsidR="00171FD2">
        <w:rPr>
          <w:b/>
          <w:lang w:val="en-GB"/>
        </w:rPr>
        <w:t>,</w:t>
      </w:r>
      <w:r w:rsidRPr="00093618">
        <w:rPr>
          <w:b/>
          <w:lang w:val="en-GB"/>
        </w:rPr>
        <w:t xml:space="preserve"> the number of PRBs used to index the TBS block size table is determined by a floored scaling operation by a factor of 1/6 or 1/12</w:t>
      </w:r>
      <w:r w:rsidR="00481B27">
        <w:rPr>
          <w:b/>
          <w:lang w:val="en-GB"/>
        </w:rPr>
        <w:t xml:space="preserve"> </w:t>
      </w:r>
      <w:r w:rsidR="00481B27" w:rsidRPr="00093618">
        <w:rPr>
          <w:b/>
          <w:lang w:val="en-GB"/>
        </w:rPr>
        <w:t>on the allocation PRB size of the sTTI</w:t>
      </w:r>
      <w:r w:rsidR="0077611B">
        <w:rPr>
          <w:b/>
          <w:lang w:val="en-GB"/>
        </w:rPr>
        <w:t>.</w:t>
      </w:r>
    </w:p>
    <w:p w14:paraId="11FA5C49" w14:textId="29D5F44D" w:rsidR="0077611B" w:rsidRPr="00FF1CDF" w:rsidRDefault="0077611B" w:rsidP="0077611B">
      <w:pPr>
        <w:jc w:val="both"/>
        <w:rPr>
          <w:lang w:val="en-GB"/>
        </w:rPr>
      </w:pPr>
      <w:r>
        <w:rPr>
          <w:b/>
          <w:lang w:val="en-GB"/>
        </w:rPr>
        <w:t xml:space="preserve">Proposal 5: </w:t>
      </w:r>
      <w:r w:rsidR="00481B27" w:rsidRPr="00093618">
        <w:rPr>
          <w:b/>
          <w:lang w:val="en-GB"/>
        </w:rPr>
        <w:t xml:space="preserve">For </w:t>
      </w:r>
      <w:r w:rsidR="00481B27">
        <w:rPr>
          <w:b/>
          <w:lang w:val="en-GB"/>
        </w:rPr>
        <w:t>determining</w:t>
      </w:r>
      <w:r>
        <w:rPr>
          <w:b/>
          <w:lang w:val="en-GB"/>
        </w:rPr>
        <w:t xml:space="preserve"> </w:t>
      </w:r>
      <w:r w:rsidR="00481B27">
        <w:rPr>
          <w:b/>
          <w:lang w:val="en-GB"/>
        </w:rPr>
        <w:t xml:space="preserve">the </w:t>
      </w:r>
      <w:r>
        <w:rPr>
          <w:b/>
          <w:lang w:val="en-GB"/>
        </w:rPr>
        <w:t xml:space="preserve">TBS of </w:t>
      </w:r>
      <w:r w:rsidR="00481B27">
        <w:rPr>
          <w:b/>
          <w:lang w:val="en-GB"/>
        </w:rPr>
        <w:t>a</w:t>
      </w:r>
      <w:r>
        <w:rPr>
          <w:b/>
          <w:lang w:val="en-GB"/>
        </w:rPr>
        <w:t xml:space="preserve"> 1-slot sTTI</w:t>
      </w:r>
      <w:r w:rsidR="00481B27">
        <w:rPr>
          <w:b/>
          <w:lang w:val="en-GB"/>
        </w:rPr>
        <w:t xml:space="preserve"> in the DL</w:t>
      </w:r>
      <w:r>
        <w:rPr>
          <w:b/>
          <w:lang w:val="en-GB"/>
        </w:rPr>
        <w:t>,</w:t>
      </w:r>
      <w:r w:rsidRPr="00093618">
        <w:rPr>
          <w:b/>
          <w:lang w:val="en-GB"/>
        </w:rPr>
        <w:t xml:space="preserve"> the number of PRBs used to index the TBS block size table is determined by a floored scaling operation by a factor of </w:t>
      </w:r>
      <w:r>
        <w:rPr>
          <w:b/>
          <w:lang w:val="en-GB"/>
        </w:rPr>
        <w:t xml:space="preserve">½ (for slot 1 of a subframe) and 5/14 (for slot 0 of a subframe) </w:t>
      </w:r>
      <w:r w:rsidRPr="00093618">
        <w:rPr>
          <w:b/>
          <w:lang w:val="en-GB"/>
        </w:rPr>
        <w:t>on the allocation PRB size of the sTTI.</w:t>
      </w:r>
    </w:p>
    <w:p w14:paraId="19AA0D65" w14:textId="77777777" w:rsidR="0077611B" w:rsidRPr="00171FD2" w:rsidRDefault="0077611B" w:rsidP="00171FD2">
      <w:pPr>
        <w:jc w:val="both"/>
        <w:rPr>
          <w:b/>
          <w:lang w:val="en-GB"/>
        </w:rPr>
      </w:pPr>
    </w:p>
    <w:p w14:paraId="681B14B9" w14:textId="50472400" w:rsidR="006034B0" w:rsidRDefault="006034B0" w:rsidP="006034B0">
      <w:pPr>
        <w:pStyle w:val="Heading3"/>
        <w:keepNext/>
        <w:keepLines/>
        <w:numPr>
          <w:ilvl w:val="1"/>
          <w:numId w:val="44"/>
        </w:numPr>
        <w:jc w:val="both"/>
      </w:pPr>
      <w:r>
        <w:t xml:space="preserve">   Number of Supportable CWs and Layers </w:t>
      </w:r>
    </w:p>
    <w:p w14:paraId="6259DB7B" w14:textId="78E0A4F9" w:rsidR="00A637AF" w:rsidRDefault="008F3A8D" w:rsidP="00FB578A">
      <w:pPr>
        <w:jc w:val="both"/>
        <w:rPr>
          <w:lang w:val="en-GB"/>
        </w:rPr>
      </w:pPr>
      <w:r w:rsidRPr="008F3A8D">
        <w:rPr>
          <w:lang w:val="en-GB"/>
        </w:rPr>
        <w:t xml:space="preserve">In legacy LTE, depending on the configured transmission mode, up to 2 CWs and 8 layers can be supported. For each CW, MCS, NDI, and RV bit fields are considered in the DCI. </w:t>
      </w:r>
    </w:p>
    <w:p w14:paraId="58627DFA" w14:textId="5DB7DB1C" w:rsidR="00EA7ADD" w:rsidRDefault="00EA7ADD" w:rsidP="00EA7ADD">
      <w:pPr>
        <w:jc w:val="both"/>
        <w:rPr>
          <w:lang w:val="en-GB"/>
        </w:rPr>
      </w:pPr>
      <w:r>
        <w:rPr>
          <w:lang w:val="en-GB"/>
        </w:rPr>
        <w:t xml:space="preserve">In a low latency operation, due to the fact that resources are limited, it is essential to reduce the control signalling overhead in both DL and UL. One straightforward way to do this is to limit the number of supportable CWs to only 1. With only 1 CW supported, only a 1-bit HARQ ACK/NAK per CC needs to be fed back. Hence, the added benefit of reducing the number of CWs is that the UL control overhead also reduces. Note that under this proposal, there is </w:t>
      </w:r>
      <w:r w:rsidR="0093629E">
        <w:rPr>
          <w:lang w:val="en-GB"/>
        </w:rPr>
        <w:t xml:space="preserve">a </w:t>
      </w:r>
      <w:r>
        <w:rPr>
          <w:lang w:val="en-GB"/>
        </w:rPr>
        <w:t>minimal impact on existing specifications since it is already supported to have a single CW mapped to 4-layer transmissions (although only for re-transmission). Due to these reasons, we have:</w:t>
      </w:r>
    </w:p>
    <w:p w14:paraId="2ACC8F9E" w14:textId="676417D8" w:rsidR="008F3A8D" w:rsidRPr="008F3A8D" w:rsidRDefault="008F3A8D" w:rsidP="00FB578A">
      <w:pPr>
        <w:jc w:val="both"/>
        <w:rPr>
          <w:b/>
          <w:lang w:val="en-GB"/>
        </w:rPr>
      </w:pPr>
      <w:r w:rsidRPr="008F3A8D">
        <w:rPr>
          <w:b/>
          <w:lang w:val="en-GB"/>
        </w:rPr>
        <w:t xml:space="preserve">Proposal </w:t>
      </w:r>
      <w:r w:rsidR="0077611B">
        <w:rPr>
          <w:b/>
          <w:lang w:val="en-GB"/>
        </w:rPr>
        <w:t>6</w:t>
      </w:r>
      <w:r w:rsidRPr="008F3A8D">
        <w:rPr>
          <w:b/>
          <w:lang w:val="en-GB"/>
        </w:rPr>
        <w:t xml:space="preserve">: </w:t>
      </w:r>
      <w:r w:rsidR="002F0A26">
        <w:rPr>
          <w:b/>
          <w:lang w:val="en-GB"/>
        </w:rPr>
        <w:t>Support</w:t>
      </w:r>
      <w:r w:rsidRPr="008F3A8D">
        <w:rPr>
          <w:b/>
          <w:lang w:val="en-GB"/>
        </w:rPr>
        <w:t xml:space="preserve"> only 1 CW per CC under the sTTI operation.</w:t>
      </w:r>
    </w:p>
    <w:p w14:paraId="32A8D662" w14:textId="71075A16" w:rsidR="00EA7ADD" w:rsidRPr="008F3A8D" w:rsidRDefault="00EA7ADD" w:rsidP="00EA7ADD">
      <w:pPr>
        <w:jc w:val="both"/>
        <w:rPr>
          <w:lang w:val="en-GB"/>
        </w:rPr>
      </w:pPr>
      <w:r w:rsidRPr="008F3A8D">
        <w:rPr>
          <w:lang w:val="en-GB"/>
        </w:rPr>
        <w:t xml:space="preserve">Similar to the legacy LTE, under the CRS-based sPDSCH, up to 4 layers can be supported. However, when a DMRS-based sPDSCH is configured, the overhead of enabling 8 layers is significant. Hence, in this case, the </w:t>
      </w:r>
      <w:r w:rsidR="0093629E">
        <w:rPr>
          <w:lang w:val="en-GB"/>
        </w:rPr>
        <w:t xml:space="preserve">maximum </w:t>
      </w:r>
      <w:r w:rsidRPr="008F3A8D">
        <w:rPr>
          <w:lang w:val="en-GB"/>
        </w:rPr>
        <w:t>number of layers</w:t>
      </w:r>
      <w:r w:rsidR="0093629E">
        <w:rPr>
          <w:lang w:val="en-GB"/>
        </w:rPr>
        <w:t xml:space="preserve"> for both 2-symbol and 1-slot sTTIs should</w:t>
      </w:r>
      <w:r w:rsidRPr="008F3A8D">
        <w:rPr>
          <w:lang w:val="en-GB"/>
        </w:rPr>
        <w:t xml:space="preserve"> be set to 4</w:t>
      </w:r>
      <w:r>
        <w:rPr>
          <w:lang w:val="en-GB"/>
        </w:rPr>
        <w:t>, especially considering only one CW is supported for sTTI.</w:t>
      </w:r>
    </w:p>
    <w:p w14:paraId="0AE3EE92" w14:textId="3D092ACD" w:rsidR="008F3A8D" w:rsidRDefault="00DE736E" w:rsidP="00FB578A">
      <w:pPr>
        <w:jc w:val="both"/>
        <w:rPr>
          <w:b/>
          <w:lang w:val="en-GB"/>
        </w:rPr>
      </w:pPr>
      <w:r>
        <w:rPr>
          <w:b/>
          <w:lang w:val="en-GB"/>
        </w:rPr>
        <w:t xml:space="preserve">Proposal </w:t>
      </w:r>
      <w:r w:rsidR="0077611B">
        <w:rPr>
          <w:b/>
          <w:lang w:val="en-GB"/>
        </w:rPr>
        <w:t>7</w:t>
      </w:r>
      <w:r>
        <w:rPr>
          <w:b/>
          <w:lang w:val="en-GB"/>
        </w:rPr>
        <w:t xml:space="preserve">: The maximum number of layers </w:t>
      </w:r>
      <w:r w:rsidR="0093629E">
        <w:rPr>
          <w:b/>
          <w:lang w:val="en-GB"/>
        </w:rPr>
        <w:t>for both 2-symbol and 1-slot sTTIs</w:t>
      </w:r>
      <w:r>
        <w:rPr>
          <w:b/>
          <w:lang w:val="en-GB"/>
        </w:rPr>
        <w:t xml:space="preserve"> </w:t>
      </w:r>
      <w:r w:rsidR="0093629E">
        <w:rPr>
          <w:b/>
          <w:lang w:val="en-GB"/>
        </w:rPr>
        <w:t>should be</w:t>
      </w:r>
      <w:r>
        <w:rPr>
          <w:b/>
          <w:lang w:val="en-GB"/>
        </w:rPr>
        <w:t xml:space="preserve"> set to 4 under both CRS-based and DMRS-based</w:t>
      </w:r>
      <w:r w:rsidR="0093629E">
        <w:rPr>
          <w:b/>
          <w:lang w:val="en-GB"/>
        </w:rPr>
        <w:t xml:space="preserve"> TMs</w:t>
      </w:r>
      <w:r>
        <w:rPr>
          <w:b/>
          <w:lang w:val="en-GB"/>
        </w:rPr>
        <w:t>.</w:t>
      </w:r>
    </w:p>
    <w:p w14:paraId="71FE880D" w14:textId="08AADA39" w:rsidR="00D61F29" w:rsidRDefault="00D61F29" w:rsidP="00FB578A">
      <w:pPr>
        <w:jc w:val="both"/>
        <w:rPr>
          <w:lang w:val="en-GB"/>
        </w:rPr>
      </w:pPr>
      <w:r w:rsidRPr="005B533B">
        <w:rPr>
          <w:lang w:val="en-GB"/>
        </w:rPr>
        <w:t>Further, in order to allow for a more flexible link adaptation, a layer-dependent MCS allocation scheme can be considered. In particular, although the coding rate is the same, different layers may be sent via different modulation order</w:t>
      </w:r>
      <w:r w:rsidR="00A53EF2">
        <w:rPr>
          <w:lang w:val="en-GB"/>
        </w:rPr>
        <w:t>s</w:t>
      </w:r>
      <w:r w:rsidRPr="005B533B">
        <w:rPr>
          <w:lang w:val="en-GB"/>
        </w:rPr>
        <w:t>. For the purpose of indication, the MCS of one layer can be explicitly communicated, while an offset is sent via sDCI1 to determine the modulation order of other layers.</w:t>
      </w:r>
    </w:p>
    <w:p w14:paraId="2DCA7F6B" w14:textId="23BBC793" w:rsidR="002F7E01" w:rsidRDefault="00D61F29" w:rsidP="00FB578A">
      <w:pPr>
        <w:jc w:val="both"/>
        <w:rPr>
          <w:b/>
          <w:lang w:val="en-GB"/>
        </w:rPr>
      </w:pPr>
      <w:r w:rsidRPr="005B533B">
        <w:rPr>
          <w:b/>
          <w:lang w:val="en-GB"/>
        </w:rPr>
        <w:t xml:space="preserve">Proposal </w:t>
      </w:r>
      <w:r w:rsidR="0077611B">
        <w:rPr>
          <w:b/>
          <w:lang w:val="en-GB"/>
        </w:rPr>
        <w:t>8</w:t>
      </w:r>
      <w:r w:rsidRPr="005B533B">
        <w:rPr>
          <w:b/>
          <w:lang w:val="en-GB"/>
        </w:rPr>
        <w:t>: Consider adopting a layer-dependent MCS allocation in low latency systems.</w:t>
      </w:r>
    </w:p>
    <w:p w14:paraId="0A05632A" w14:textId="77777777" w:rsidR="002F7E01" w:rsidRDefault="002F7E01" w:rsidP="002F7E01">
      <w:pPr>
        <w:pStyle w:val="Heading3"/>
        <w:keepNext/>
        <w:keepLines/>
        <w:numPr>
          <w:ilvl w:val="1"/>
          <w:numId w:val="44"/>
        </w:numPr>
        <w:jc w:val="both"/>
      </w:pPr>
      <w:r>
        <w:t xml:space="preserve">   Providing Interference Diversity for sPDSCH</w:t>
      </w:r>
    </w:p>
    <w:p w14:paraId="14349555" w14:textId="6818D5E1" w:rsidR="002F7E01" w:rsidRPr="00FF1CDF" w:rsidRDefault="002F7E01" w:rsidP="00C12F18">
      <w:r w:rsidRPr="0077611B">
        <w:rPr>
          <w:lang w:val="en-GB"/>
        </w:rPr>
        <w:t xml:space="preserve">In the legacy LTE, each DL codeword </w:t>
      </w:r>
      <m:oMath>
        <m:r>
          <w:rPr>
            <w:rFonts w:ascii="Cambria Math" w:hAnsi="Cambria Math"/>
            <w:lang w:val="en-GB"/>
          </w:rPr>
          <m:t>q</m:t>
        </m:r>
      </m:oMath>
      <w:r w:rsidRPr="0077611B">
        <w:rPr>
          <w:lang w:val="en-GB"/>
        </w:rPr>
        <w:t xml:space="preserve"> is scrambled by a scrambling sequence </w:t>
      </w:r>
      <m:oMath>
        <m:sSup>
          <m:sSupPr>
            <m:ctrlPr>
              <w:rPr>
                <w:rFonts w:ascii="Cambria Math" w:hAnsi="Cambria Math"/>
                <w:i/>
                <w:iCs/>
              </w:rPr>
            </m:ctrlPr>
          </m:sSupPr>
          <m:e>
            <m:r>
              <w:rPr>
                <w:rFonts w:ascii="Cambria Math" w:hAnsi="Cambria Math"/>
              </w:rPr>
              <m:t>c</m:t>
            </m:r>
          </m:e>
          <m:sup>
            <m:d>
              <m:dPr>
                <m:ctrlPr>
                  <w:rPr>
                    <w:rFonts w:ascii="Cambria Math" w:hAnsi="Cambria Math"/>
                    <w:i/>
                    <w:iCs/>
                  </w:rPr>
                </m:ctrlPr>
              </m:dPr>
              <m:e>
                <m:r>
                  <w:rPr>
                    <w:rFonts w:ascii="Cambria Math" w:hAnsi="Cambria Math"/>
                  </w:rPr>
                  <m:t>q</m:t>
                </m:r>
              </m:e>
            </m:d>
          </m:sup>
        </m:sSup>
        <m:r>
          <w:rPr>
            <w:rFonts w:ascii="Cambria Math" w:hAnsi="Cambria Math"/>
          </w:rPr>
          <m:t>(i)</m:t>
        </m:r>
      </m:oMath>
      <w:r w:rsidRPr="00FF1CDF">
        <w:t xml:space="preserve"> according to:</w:t>
      </w:r>
    </w:p>
    <w:p w14:paraId="405198D9" w14:textId="77777777" w:rsidR="002F7E01" w:rsidRPr="00C12F18" w:rsidRDefault="00077396" w:rsidP="00C12F18">
      <w:pPr>
        <w:pStyle w:val="ListParagraph"/>
        <w:ind w:left="384"/>
        <w:jc w:val="both"/>
      </w:pPr>
      <m:oMathPara>
        <m:oMath>
          <m:sSup>
            <m:sSupPr>
              <m:ctrlPr>
                <w:rPr>
                  <w:rFonts w:ascii="Cambria Math" w:hAnsi="Cambria Math"/>
                  <w:iCs/>
                  <w:sz w:val="20"/>
                </w:rPr>
              </m:ctrlPr>
            </m:sSupPr>
            <m:e>
              <m:acc>
                <m:accPr>
                  <m:chr m:val="̃"/>
                  <m:ctrlPr>
                    <w:rPr>
                      <w:rFonts w:ascii="Cambria Math" w:hAnsi="Cambria Math"/>
                      <w:iCs/>
                      <w:sz w:val="20"/>
                    </w:rPr>
                  </m:ctrlPr>
                </m:accPr>
                <m:e>
                  <m:r>
                    <m:rPr>
                      <m:sty m:val="p"/>
                    </m:rPr>
                    <w:rPr>
                      <w:rFonts w:ascii="Cambria Math" w:hAnsi="Cambria Math"/>
                      <w:sz w:val="20"/>
                    </w:rPr>
                    <m:t>b</m:t>
                  </m:r>
                </m:e>
              </m:acc>
            </m:e>
            <m:sup>
              <m:d>
                <m:dPr>
                  <m:ctrlPr>
                    <w:rPr>
                      <w:rFonts w:ascii="Cambria Math" w:hAnsi="Cambria Math"/>
                      <w:iCs/>
                      <w:sz w:val="20"/>
                    </w:rPr>
                  </m:ctrlPr>
                </m:dPr>
                <m:e>
                  <m:r>
                    <m:rPr>
                      <m:sty m:val="p"/>
                    </m:rPr>
                    <w:rPr>
                      <w:rFonts w:ascii="Cambria Math" w:hAnsi="Cambria Math"/>
                      <w:sz w:val="20"/>
                    </w:rPr>
                    <m:t>q</m:t>
                  </m:r>
                </m:e>
              </m:d>
            </m:sup>
          </m:sSup>
          <m:d>
            <m:dPr>
              <m:ctrlPr>
                <w:rPr>
                  <w:rFonts w:ascii="Cambria Math" w:hAnsi="Cambria Math"/>
                  <w:iCs/>
                  <w:sz w:val="20"/>
                </w:rPr>
              </m:ctrlPr>
            </m:dPr>
            <m:e>
              <m:r>
                <m:rPr>
                  <m:sty m:val="p"/>
                </m:rPr>
                <w:rPr>
                  <w:rFonts w:ascii="Cambria Math" w:hAnsi="Cambria Math"/>
                  <w:sz w:val="20"/>
                </w:rPr>
                <m:t>i</m:t>
              </m:r>
            </m:e>
          </m:d>
          <m:r>
            <m:rPr>
              <m:sty m:val="p"/>
            </m:rPr>
            <w:rPr>
              <w:rFonts w:ascii="Cambria Math" w:hAnsi="Cambria Math"/>
              <w:sz w:val="20"/>
            </w:rPr>
            <m:t>=</m:t>
          </m:r>
          <m:d>
            <m:dPr>
              <m:ctrlPr>
                <w:rPr>
                  <w:rFonts w:ascii="Cambria Math" w:hAnsi="Cambria Math"/>
                  <w:iCs/>
                  <w:sz w:val="20"/>
                </w:rPr>
              </m:ctrlPr>
            </m:dPr>
            <m:e>
              <m:sSup>
                <m:sSupPr>
                  <m:ctrlPr>
                    <w:rPr>
                      <w:rFonts w:ascii="Cambria Math" w:hAnsi="Cambria Math"/>
                      <w:iCs/>
                      <w:sz w:val="20"/>
                    </w:rPr>
                  </m:ctrlPr>
                </m:sSupPr>
                <m:e>
                  <m:r>
                    <m:rPr>
                      <m:sty m:val="p"/>
                    </m:rPr>
                    <w:rPr>
                      <w:rFonts w:ascii="Cambria Math" w:hAnsi="Cambria Math"/>
                      <w:sz w:val="20"/>
                    </w:rPr>
                    <m:t>b</m:t>
                  </m:r>
                </m:e>
                <m:sup>
                  <m:d>
                    <m:dPr>
                      <m:ctrlPr>
                        <w:rPr>
                          <w:rFonts w:ascii="Cambria Math" w:hAnsi="Cambria Math"/>
                          <w:iCs/>
                          <w:sz w:val="20"/>
                        </w:rPr>
                      </m:ctrlPr>
                    </m:dPr>
                    <m:e>
                      <m:r>
                        <m:rPr>
                          <m:sty m:val="p"/>
                        </m:rPr>
                        <w:rPr>
                          <w:rFonts w:ascii="Cambria Math" w:hAnsi="Cambria Math"/>
                          <w:sz w:val="20"/>
                        </w:rPr>
                        <m:t>q</m:t>
                      </m:r>
                    </m:e>
                  </m:d>
                </m:sup>
              </m:sSup>
              <m:d>
                <m:dPr>
                  <m:ctrlPr>
                    <w:rPr>
                      <w:rFonts w:ascii="Cambria Math" w:hAnsi="Cambria Math"/>
                      <w:iCs/>
                      <w:sz w:val="20"/>
                    </w:rPr>
                  </m:ctrlPr>
                </m:dPr>
                <m:e>
                  <m:r>
                    <m:rPr>
                      <m:sty m:val="p"/>
                    </m:rPr>
                    <w:rPr>
                      <w:rFonts w:ascii="Cambria Math" w:hAnsi="Cambria Math"/>
                      <w:sz w:val="20"/>
                    </w:rPr>
                    <m:t>i</m:t>
                  </m:r>
                </m:e>
              </m:d>
              <m:r>
                <m:rPr>
                  <m:sty m:val="p"/>
                </m:rPr>
                <w:rPr>
                  <w:rFonts w:ascii="Cambria Math" w:hAnsi="Cambria Math"/>
                  <w:sz w:val="20"/>
                </w:rPr>
                <m:t>+</m:t>
              </m:r>
              <m:sSup>
                <m:sSupPr>
                  <m:ctrlPr>
                    <w:rPr>
                      <w:rFonts w:ascii="Cambria Math" w:hAnsi="Cambria Math"/>
                      <w:iCs/>
                      <w:sz w:val="20"/>
                    </w:rPr>
                  </m:ctrlPr>
                </m:sSupPr>
                <m:e>
                  <m:r>
                    <m:rPr>
                      <m:sty m:val="p"/>
                    </m:rPr>
                    <w:rPr>
                      <w:rFonts w:ascii="Cambria Math" w:hAnsi="Cambria Math"/>
                      <w:sz w:val="20"/>
                    </w:rPr>
                    <m:t>c</m:t>
                  </m:r>
                </m:e>
                <m:sup>
                  <m:d>
                    <m:dPr>
                      <m:ctrlPr>
                        <w:rPr>
                          <w:rFonts w:ascii="Cambria Math" w:hAnsi="Cambria Math"/>
                          <w:iCs/>
                          <w:sz w:val="20"/>
                        </w:rPr>
                      </m:ctrlPr>
                    </m:dPr>
                    <m:e>
                      <m:r>
                        <m:rPr>
                          <m:sty m:val="p"/>
                        </m:rPr>
                        <w:rPr>
                          <w:rFonts w:ascii="Cambria Math" w:hAnsi="Cambria Math"/>
                          <w:sz w:val="20"/>
                        </w:rPr>
                        <m:t>q</m:t>
                      </m:r>
                    </m:e>
                  </m:d>
                </m:sup>
              </m:sSup>
              <m:d>
                <m:dPr>
                  <m:ctrlPr>
                    <w:rPr>
                      <w:rFonts w:ascii="Cambria Math" w:hAnsi="Cambria Math"/>
                      <w:iCs/>
                      <w:sz w:val="20"/>
                    </w:rPr>
                  </m:ctrlPr>
                </m:dPr>
                <m:e>
                  <m:r>
                    <m:rPr>
                      <m:sty m:val="p"/>
                    </m:rPr>
                    <w:rPr>
                      <w:rFonts w:ascii="Cambria Math" w:hAnsi="Cambria Math"/>
                      <w:sz w:val="20"/>
                    </w:rPr>
                    <m:t>i</m:t>
                  </m:r>
                </m:e>
              </m:d>
            </m:e>
          </m:d>
          <m:r>
            <m:rPr>
              <m:sty m:val="p"/>
            </m:rPr>
            <w:rPr>
              <w:rFonts w:ascii="Cambria Math" w:hAnsi="Cambria Math"/>
              <w:sz w:val="20"/>
            </w:rPr>
            <m:t>mod2</m:t>
          </m:r>
        </m:oMath>
      </m:oMathPara>
    </w:p>
    <w:p w14:paraId="156194CD" w14:textId="77777777" w:rsidR="002F7E01" w:rsidRPr="00FF1CDF" w:rsidRDefault="002F7E01" w:rsidP="00C12F18">
      <w:r w:rsidRPr="00FF1CDF">
        <w:lastRenderedPageBreak/>
        <w:t>where, the scrambling sequence generator shall be initialized at the start of each subframe according to:</w:t>
      </w:r>
    </w:p>
    <w:p w14:paraId="5B963963" w14:textId="77777777" w:rsidR="002F7E01" w:rsidRPr="0077611B" w:rsidRDefault="00077396" w:rsidP="00C12F18">
      <w:pPr>
        <w:jc w:val="both"/>
      </w:pPr>
      <m:oMathPara>
        <m:oMathParaPr>
          <m:jc m:val="centerGroup"/>
        </m:oMathParaP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RNTI</m:t>
              </m:r>
            </m:sub>
          </m:sSub>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14</m:t>
              </m:r>
            </m:sup>
          </m:sSup>
          <m:r>
            <m:rPr>
              <m:sty m:val="p"/>
            </m:rPr>
            <w:rPr>
              <w:rFonts w:ascii="Cambria Math" w:hAnsi="Cambria Math"/>
            </w:rPr>
            <m:t>+q.</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13</m:t>
              </m:r>
            </m:sup>
          </m:sSup>
          <m:r>
            <m:rPr>
              <m:sty m:val="p"/>
            </m:rPr>
            <w:rPr>
              <w:rFonts w:ascii="Cambria Math" w:hAnsi="Cambria Math"/>
            </w:rPr>
            <m:t>+</m:t>
          </m:r>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m:t>
                      </m:r>
                    </m:sub>
                  </m:sSub>
                </m:num>
                <m:den>
                  <m:r>
                    <m:rPr>
                      <m:sty m:val="p"/>
                    </m:rPr>
                    <w:rPr>
                      <w:rFonts w:ascii="Cambria Math" w:hAnsi="Cambria Math"/>
                    </w:rPr>
                    <m:t>2</m:t>
                  </m:r>
                </m:den>
              </m:f>
            </m:e>
          </m:d>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9</m:t>
              </m:r>
            </m:sup>
          </m:sSup>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m:t>
          </m:r>
        </m:oMath>
      </m:oMathPara>
    </w:p>
    <w:p w14:paraId="2D247EA8" w14:textId="55EE34C2" w:rsidR="002F7E01" w:rsidRDefault="002F7E01" w:rsidP="00C12F18">
      <w:pPr>
        <w:jc w:val="both"/>
      </w:pPr>
      <w:r w:rsidRPr="00FF1CDF">
        <w:t>Using the same scrambling sequence generator for an sTTI operation is not desirable. This is because if the scrambling sequence is set at the subframe boundary, the same sequ</w:t>
      </w:r>
      <w:r>
        <w:t>ence will be used for multiple D</w:t>
      </w:r>
      <w:r w:rsidRPr="00FF1CDF">
        <w:t>L sTTIs.</w:t>
      </w:r>
      <w:r>
        <w:t xml:space="preserve"> Hence, in order to gain from interference diversity, the scrambling sequence initialization should be dependent on the sTTI index, or even each OFDM symbol index. Further, </w:t>
      </w:r>
      <w:r w:rsidRPr="00987AC8">
        <w:t>the scrambling sequence can be dependent on whether it is used for the initial transmission or retransmissions.</w:t>
      </w:r>
      <w:r>
        <w:t xml:space="preserve"> Hence, we have that:</w:t>
      </w:r>
    </w:p>
    <w:p w14:paraId="45A14590" w14:textId="24EF5530" w:rsidR="002F7E01" w:rsidRPr="00C12F18" w:rsidRDefault="002F7E01" w:rsidP="00FB578A">
      <w:pPr>
        <w:jc w:val="both"/>
        <w:rPr>
          <w:b/>
        </w:rPr>
      </w:pPr>
      <w:r>
        <w:rPr>
          <w:b/>
        </w:rPr>
        <w:t xml:space="preserve">Proposal </w:t>
      </w:r>
      <w:r w:rsidR="0077611B">
        <w:rPr>
          <w:b/>
        </w:rPr>
        <w:t>9</w:t>
      </w:r>
      <w:r w:rsidRPr="00C12F18">
        <w:rPr>
          <w:b/>
        </w:rPr>
        <w:t xml:space="preserve">: For the </w:t>
      </w:r>
      <w:r>
        <w:rPr>
          <w:b/>
        </w:rPr>
        <w:t>D</w:t>
      </w:r>
      <w:r w:rsidRPr="00C12F18">
        <w:rPr>
          <w:b/>
        </w:rPr>
        <w:t xml:space="preserve">L sTTI operation, each codeword is scrambled by a sequence that is initialized differently based on </w:t>
      </w:r>
      <w:r>
        <w:rPr>
          <w:b/>
        </w:rPr>
        <w:t xml:space="preserve">the </w:t>
      </w:r>
      <w:r w:rsidRPr="00C12F18">
        <w:rPr>
          <w:b/>
        </w:rPr>
        <w:t>sTTI index, symbol index, and/or whether the scrambling sequence is used for the initial transmission or a re-transmission</w:t>
      </w:r>
      <w:r>
        <w:rPr>
          <w:b/>
        </w:rPr>
        <w:t>.</w:t>
      </w:r>
    </w:p>
    <w:p w14:paraId="2F77E7C7" w14:textId="3605C8B0" w:rsidR="00491EEE" w:rsidRDefault="0029664A" w:rsidP="00843B71">
      <w:pPr>
        <w:pStyle w:val="Heading1"/>
        <w:jc w:val="both"/>
      </w:pPr>
      <w:r>
        <w:t>3</w:t>
      </w:r>
      <w:r w:rsidR="00491EEE" w:rsidRPr="00E05A22">
        <w:tab/>
        <w:t xml:space="preserve">Conclusions </w:t>
      </w:r>
    </w:p>
    <w:p w14:paraId="12B807F9" w14:textId="77777777" w:rsidR="00DA74E7" w:rsidRPr="00775094" w:rsidRDefault="00DA74E7" w:rsidP="00DA74E7">
      <w:pPr>
        <w:jc w:val="both"/>
        <w:rPr>
          <w:b/>
        </w:rPr>
      </w:pPr>
      <w:r>
        <w:rPr>
          <w:b/>
        </w:rPr>
        <w:t>Proposal 1</w:t>
      </w:r>
      <w:r w:rsidRPr="006034B0">
        <w:rPr>
          <w:b/>
        </w:rPr>
        <w:t xml:space="preserve">: </w:t>
      </w:r>
      <w:r>
        <w:rPr>
          <w:b/>
        </w:rPr>
        <w:t>For both 2-symbol and 1-slot sTTI operations,</w:t>
      </w:r>
      <w:r w:rsidRPr="00263EA2">
        <w:rPr>
          <w:b/>
        </w:rPr>
        <w:t xml:space="preserve"> </w:t>
      </w:r>
      <w:r>
        <w:rPr>
          <w:b/>
        </w:rPr>
        <w:t>the DL resource assignment should be based on the RMB concept, where each RMB is defined as a set of either consecutive RBs (RBGs) or distributed RBs (RBGs), and different RMBs are non-overlapping.</w:t>
      </w:r>
    </w:p>
    <w:p w14:paraId="3916936E" w14:textId="77777777" w:rsidR="00DA74E7" w:rsidRPr="00775094" w:rsidRDefault="00DA74E7" w:rsidP="00DA74E7">
      <w:pPr>
        <w:jc w:val="both"/>
        <w:rPr>
          <w:b/>
        </w:rPr>
      </w:pPr>
      <w:r>
        <w:rPr>
          <w:b/>
        </w:rPr>
        <w:t>Proposal 2: The RMB structure within each sTTI should be configured via a higher layer signaling.</w:t>
      </w:r>
    </w:p>
    <w:p w14:paraId="7D72F7AC" w14:textId="77777777" w:rsidR="00DA74E7" w:rsidRDefault="00DA74E7" w:rsidP="00DA74E7">
      <w:pPr>
        <w:jc w:val="both"/>
        <w:rPr>
          <w:b/>
          <w:lang w:val="en-GB"/>
        </w:rPr>
      </w:pPr>
      <w:r>
        <w:rPr>
          <w:b/>
          <w:lang w:val="en-GB"/>
        </w:rPr>
        <w:t>Proposal 3</w:t>
      </w:r>
      <w:r w:rsidRPr="006034B0">
        <w:rPr>
          <w:b/>
          <w:lang w:val="en-GB"/>
        </w:rPr>
        <w:t>: To efficiently support simultaneous legacy and low latency transmissions, information indicating the legacy resource usage within the subframe can be a combination of a dynamic PDCCH transmission with a preconfigured periodicity and a semi-static configuration. The low latency users can use this to rate match around these used legacy resources.</w:t>
      </w:r>
    </w:p>
    <w:p w14:paraId="6D9C7E56" w14:textId="77777777" w:rsidR="00481B27" w:rsidRDefault="00481B27" w:rsidP="00481B27">
      <w:pPr>
        <w:jc w:val="both"/>
        <w:rPr>
          <w:b/>
          <w:lang w:val="en-GB"/>
        </w:rPr>
      </w:pPr>
      <w:r>
        <w:rPr>
          <w:b/>
          <w:lang w:val="en-GB"/>
        </w:rPr>
        <w:t>Proposal 4</w:t>
      </w:r>
      <w:r w:rsidRPr="00093618">
        <w:rPr>
          <w:b/>
          <w:lang w:val="en-GB"/>
        </w:rPr>
        <w:t xml:space="preserve">: For </w:t>
      </w:r>
      <w:r>
        <w:rPr>
          <w:b/>
          <w:lang w:val="en-GB"/>
        </w:rPr>
        <w:t xml:space="preserve">determining the </w:t>
      </w:r>
      <w:r w:rsidRPr="00093618">
        <w:rPr>
          <w:b/>
          <w:lang w:val="en-GB"/>
        </w:rPr>
        <w:t xml:space="preserve">TBS of </w:t>
      </w:r>
      <w:r>
        <w:rPr>
          <w:b/>
          <w:lang w:val="en-GB"/>
        </w:rPr>
        <w:t>a 2-symbol sTTI in the DL,</w:t>
      </w:r>
      <w:r w:rsidRPr="00093618">
        <w:rPr>
          <w:b/>
          <w:lang w:val="en-GB"/>
        </w:rPr>
        <w:t xml:space="preserve"> the number of PRBs used to index the TBS block size table is determined by a floored scaling operation by a factor of 1/6 or 1/12</w:t>
      </w:r>
      <w:r>
        <w:rPr>
          <w:b/>
          <w:lang w:val="en-GB"/>
        </w:rPr>
        <w:t xml:space="preserve"> </w:t>
      </w:r>
      <w:r w:rsidRPr="00093618">
        <w:rPr>
          <w:b/>
          <w:lang w:val="en-GB"/>
        </w:rPr>
        <w:t>on the allocation PRB size of the sTTI</w:t>
      </w:r>
      <w:r>
        <w:rPr>
          <w:b/>
          <w:lang w:val="en-GB"/>
        </w:rPr>
        <w:t>.</w:t>
      </w:r>
    </w:p>
    <w:p w14:paraId="27A79E0F" w14:textId="77777777" w:rsidR="00481B27" w:rsidRPr="00FF1CDF" w:rsidRDefault="00481B27" w:rsidP="00481B27">
      <w:pPr>
        <w:jc w:val="both"/>
        <w:rPr>
          <w:lang w:val="en-GB"/>
        </w:rPr>
      </w:pPr>
      <w:r>
        <w:rPr>
          <w:b/>
          <w:lang w:val="en-GB"/>
        </w:rPr>
        <w:t xml:space="preserve">Proposal 5: </w:t>
      </w:r>
      <w:r w:rsidRPr="00093618">
        <w:rPr>
          <w:b/>
          <w:lang w:val="en-GB"/>
        </w:rPr>
        <w:t xml:space="preserve">For </w:t>
      </w:r>
      <w:r>
        <w:rPr>
          <w:b/>
          <w:lang w:val="en-GB"/>
        </w:rPr>
        <w:t>determining the TBS of a 1-slot sTTI in the DL,</w:t>
      </w:r>
      <w:r w:rsidRPr="00093618">
        <w:rPr>
          <w:b/>
          <w:lang w:val="en-GB"/>
        </w:rPr>
        <w:t xml:space="preserve"> the number of PRBs used to index the TBS block size table is determined by a floored scaling operation by a factor of </w:t>
      </w:r>
      <w:r>
        <w:rPr>
          <w:b/>
          <w:lang w:val="en-GB"/>
        </w:rPr>
        <w:t xml:space="preserve">½ (for slot 1 of a subframe) and 5/14 (for slot 0 of a subframe) </w:t>
      </w:r>
      <w:r w:rsidRPr="00093618">
        <w:rPr>
          <w:b/>
          <w:lang w:val="en-GB"/>
        </w:rPr>
        <w:t>on the allocation PRB size of the sTTI.</w:t>
      </w:r>
    </w:p>
    <w:p w14:paraId="096F8B45" w14:textId="42296C35" w:rsidR="002F0A26" w:rsidRPr="008F3A8D" w:rsidRDefault="002F0A26" w:rsidP="002F0A26">
      <w:pPr>
        <w:jc w:val="both"/>
        <w:rPr>
          <w:b/>
          <w:lang w:val="en-GB"/>
        </w:rPr>
      </w:pPr>
      <w:r w:rsidRPr="008F3A8D">
        <w:rPr>
          <w:b/>
          <w:lang w:val="en-GB"/>
        </w:rPr>
        <w:t xml:space="preserve">Proposal </w:t>
      </w:r>
      <w:r w:rsidR="0077611B">
        <w:rPr>
          <w:b/>
          <w:lang w:val="en-GB"/>
        </w:rPr>
        <w:t>6</w:t>
      </w:r>
      <w:r w:rsidRPr="008F3A8D">
        <w:rPr>
          <w:b/>
          <w:lang w:val="en-GB"/>
        </w:rPr>
        <w:t xml:space="preserve">: </w:t>
      </w:r>
      <w:r>
        <w:rPr>
          <w:b/>
          <w:lang w:val="en-GB"/>
        </w:rPr>
        <w:t>Support</w:t>
      </w:r>
      <w:r w:rsidRPr="008F3A8D">
        <w:rPr>
          <w:b/>
          <w:lang w:val="en-GB"/>
        </w:rPr>
        <w:t xml:space="preserve"> only 1 CW per CC under the sTTI operation.</w:t>
      </w:r>
    </w:p>
    <w:p w14:paraId="7E7F8A99" w14:textId="29ED9708" w:rsidR="0093629E" w:rsidRDefault="0077611B" w:rsidP="0093629E">
      <w:pPr>
        <w:jc w:val="both"/>
        <w:rPr>
          <w:b/>
          <w:lang w:val="en-GB"/>
        </w:rPr>
      </w:pPr>
      <w:r>
        <w:rPr>
          <w:b/>
          <w:lang w:val="en-GB"/>
        </w:rPr>
        <w:t>Proposal 7</w:t>
      </w:r>
      <w:r w:rsidR="0093629E">
        <w:rPr>
          <w:b/>
          <w:lang w:val="en-GB"/>
        </w:rPr>
        <w:t>: The maximum number of layers for both 2-symbol and 1-slot sTTIs should be set to 4 under both CRS-based and DMRS-based TMs.</w:t>
      </w:r>
    </w:p>
    <w:p w14:paraId="28746359" w14:textId="21EB21F0" w:rsidR="00D61F29" w:rsidRPr="004F3BFE" w:rsidRDefault="00D61F29" w:rsidP="00D61F29">
      <w:pPr>
        <w:jc w:val="both"/>
        <w:rPr>
          <w:b/>
          <w:lang w:val="en-GB"/>
        </w:rPr>
      </w:pPr>
      <w:r w:rsidRPr="004F3BFE">
        <w:rPr>
          <w:b/>
          <w:lang w:val="en-GB"/>
        </w:rPr>
        <w:t xml:space="preserve">Proposal </w:t>
      </w:r>
      <w:r w:rsidR="0077611B">
        <w:rPr>
          <w:b/>
          <w:lang w:val="en-GB"/>
        </w:rPr>
        <w:t>8</w:t>
      </w:r>
      <w:r w:rsidRPr="004F3BFE">
        <w:rPr>
          <w:b/>
          <w:lang w:val="en-GB"/>
        </w:rPr>
        <w:t>: Consider adopting a layer-dependent MCS allocation in low latency systems.</w:t>
      </w:r>
    </w:p>
    <w:p w14:paraId="749A533B" w14:textId="146A2F7E" w:rsidR="002F7E01" w:rsidRPr="00FF1CDF" w:rsidRDefault="0077611B" w:rsidP="002F7E01">
      <w:pPr>
        <w:jc w:val="both"/>
        <w:rPr>
          <w:b/>
        </w:rPr>
      </w:pPr>
      <w:r>
        <w:rPr>
          <w:b/>
        </w:rPr>
        <w:t>Proposal 9</w:t>
      </w:r>
      <w:r w:rsidR="002F7E01" w:rsidRPr="00FF1CDF">
        <w:rPr>
          <w:b/>
        </w:rPr>
        <w:t xml:space="preserve">: For the </w:t>
      </w:r>
      <w:r w:rsidR="002F7E01">
        <w:rPr>
          <w:b/>
        </w:rPr>
        <w:t>D</w:t>
      </w:r>
      <w:r w:rsidR="002F7E01" w:rsidRPr="00FF1CDF">
        <w:rPr>
          <w:b/>
        </w:rPr>
        <w:t xml:space="preserve">L sTTI operation, each codeword is scrambled by a sequence that is initialized differently based on </w:t>
      </w:r>
      <w:r w:rsidR="002F7E01">
        <w:rPr>
          <w:b/>
        </w:rPr>
        <w:t xml:space="preserve">the </w:t>
      </w:r>
      <w:r w:rsidR="002F7E01" w:rsidRPr="00FF1CDF">
        <w:rPr>
          <w:b/>
        </w:rPr>
        <w:t>sTTI index, symbol index, and/or whether the scrambling sequence is used for the initial transmission or a re-transmission.</w:t>
      </w:r>
    </w:p>
    <w:p w14:paraId="6E1B4D61" w14:textId="77777777" w:rsidR="00D61F29" w:rsidRPr="00553FCF" w:rsidRDefault="00D61F29" w:rsidP="00553FCF">
      <w:pPr>
        <w:jc w:val="both"/>
        <w:rPr>
          <w:b/>
          <w:lang w:val="en-GB"/>
        </w:rPr>
      </w:pPr>
    </w:p>
    <w:sectPr w:rsidR="00D61F29" w:rsidRPr="00553FCF" w:rsidSect="00E054B7">
      <w:headerReference w:type="even" r:id="rId20"/>
      <w:footerReference w:type="even" r:id="rId21"/>
      <w:footerReference w:type="default" r:id="rId2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F26F1" w14:textId="77777777" w:rsidR="00077396" w:rsidRDefault="00077396">
      <w:r>
        <w:separator/>
      </w:r>
    </w:p>
  </w:endnote>
  <w:endnote w:type="continuationSeparator" w:id="0">
    <w:p w14:paraId="12709D40" w14:textId="77777777" w:rsidR="00077396" w:rsidRDefault="00077396">
      <w:r>
        <w:continuationSeparator/>
      </w:r>
    </w:p>
  </w:endnote>
  <w:endnote w:type="continuationNotice" w:id="1">
    <w:p w14:paraId="0249FB7B" w14:textId="77777777" w:rsidR="00077396" w:rsidRDefault="00077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0E55E0E3"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12F1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2F18">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34AE5" w14:textId="77777777" w:rsidR="00077396" w:rsidRDefault="00077396">
      <w:r>
        <w:separator/>
      </w:r>
    </w:p>
  </w:footnote>
  <w:footnote w:type="continuationSeparator" w:id="0">
    <w:p w14:paraId="0BDCC4B6" w14:textId="77777777" w:rsidR="00077396" w:rsidRDefault="00077396">
      <w:r>
        <w:continuationSeparator/>
      </w:r>
    </w:p>
  </w:footnote>
  <w:footnote w:type="continuationNotice" w:id="1">
    <w:p w14:paraId="71106D3B" w14:textId="77777777" w:rsidR="00077396" w:rsidRDefault="000773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75pt;height:15.75pt" o:bullet="t">
        <v:imagedata r:id="rId1" o:title="art2F4"/>
      </v:shape>
    </w:pict>
  </w:numPicBullet>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30D4"/>
    <w:multiLevelType w:val="hybridMultilevel"/>
    <w:tmpl w:val="8012B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E317C"/>
    <w:multiLevelType w:val="hybridMultilevel"/>
    <w:tmpl w:val="C45A5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1BA"/>
    <w:multiLevelType w:val="hybridMultilevel"/>
    <w:tmpl w:val="1B36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11F3C"/>
    <w:multiLevelType w:val="hybridMultilevel"/>
    <w:tmpl w:val="DA3E2ACE"/>
    <w:lvl w:ilvl="0" w:tplc="A81A6AA2">
      <w:start w:val="1"/>
      <w:numFmt w:val="bullet"/>
      <w:lvlText w:val=""/>
      <w:lvlPicBulletId w:val="0"/>
      <w:lvlJc w:val="left"/>
      <w:pPr>
        <w:tabs>
          <w:tab w:val="num" w:pos="720"/>
        </w:tabs>
        <w:ind w:left="720" w:hanging="360"/>
      </w:pPr>
      <w:rPr>
        <w:rFonts w:ascii="Symbol" w:hAnsi="Symbol" w:hint="default"/>
      </w:rPr>
    </w:lvl>
    <w:lvl w:ilvl="1" w:tplc="30B268D2">
      <w:start w:val="39"/>
      <w:numFmt w:val="bullet"/>
      <w:lvlText w:val="−"/>
      <w:lvlJc w:val="left"/>
      <w:pPr>
        <w:tabs>
          <w:tab w:val="num" w:pos="1440"/>
        </w:tabs>
        <w:ind w:left="1440" w:hanging="360"/>
      </w:pPr>
      <w:rPr>
        <w:rFonts w:ascii="Calibre Regular" w:hAnsi="Calibre Regular" w:hint="default"/>
      </w:rPr>
    </w:lvl>
    <w:lvl w:ilvl="2" w:tplc="9942E634">
      <w:start w:val="39"/>
      <w:numFmt w:val="bullet"/>
      <w:lvlText w:val="−"/>
      <w:lvlJc w:val="left"/>
      <w:pPr>
        <w:tabs>
          <w:tab w:val="num" w:pos="2160"/>
        </w:tabs>
        <w:ind w:left="2160" w:hanging="360"/>
      </w:pPr>
      <w:rPr>
        <w:rFonts w:ascii="Calibre Regular" w:hAnsi="Calibre Regular" w:hint="default"/>
      </w:rPr>
    </w:lvl>
    <w:lvl w:ilvl="3" w:tplc="15AEF0D4" w:tentative="1">
      <w:start w:val="1"/>
      <w:numFmt w:val="bullet"/>
      <w:lvlText w:val=""/>
      <w:lvlPicBulletId w:val="0"/>
      <w:lvlJc w:val="left"/>
      <w:pPr>
        <w:tabs>
          <w:tab w:val="num" w:pos="2880"/>
        </w:tabs>
        <w:ind w:left="2880" w:hanging="360"/>
      </w:pPr>
      <w:rPr>
        <w:rFonts w:ascii="Symbol" w:hAnsi="Symbol" w:hint="default"/>
      </w:rPr>
    </w:lvl>
    <w:lvl w:ilvl="4" w:tplc="A2949992" w:tentative="1">
      <w:start w:val="1"/>
      <w:numFmt w:val="bullet"/>
      <w:lvlText w:val=""/>
      <w:lvlPicBulletId w:val="0"/>
      <w:lvlJc w:val="left"/>
      <w:pPr>
        <w:tabs>
          <w:tab w:val="num" w:pos="3600"/>
        </w:tabs>
        <w:ind w:left="3600" w:hanging="360"/>
      </w:pPr>
      <w:rPr>
        <w:rFonts w:ascii="Symbol" w:hAnsi="Symbol" w:hint="default"/>
      </w:rPr>
    </w:lvl>
    <w:lvl w:ilvl="5" w:tplc="E42E44AA" w:tentative="1">
      <w:start w:val="1"/>
      <w:numFmt w:val="bullet"/>
      <w:lvlText w:val=""/>
      <w:lvlPicBulletId w:val="0"/>
      <w:lvlJc w:val="left"/>
      <w:pPr>
        <w:tabs>
          <w:tab w:val="num" w:pos="4320"/>
        </w:tabs>
        <w:ind w:left="4320" w:hanging="360"/>
      </w:pPr>
      <w:rPr>
        <w:rFonts w:ascii="Symbol" w:hAnsi="Symbol" w:hint="default"/>
      </w:rPr>
    </w:lvl>
    <w:lvl w:ilvl="6" w:tplc="C324F8FA" w:tentative="1">
      <w:start w:val="1"/>
      <w:numFmt w:val="bullet"/>
      <w:lvlText w:val=""/>
      <w:lvlPicBulletId w:val="0"/>
      <w:lvlJc w:val="left"/>
      <w:pPr>
        <w:tabs>
          <w:tab w:val="num" w:pos="5040"/>
        </w:tabs>
        <w:ind w:left="5040" w:hanging="360"/>
      </w:pPr>
      <w:rPr>
        <w:rFonts w:ascii="Symbol" w:hAnsi="Symbol" w:hint="default"/>
      </w:rPr>
    </w:lvl>
    <w:lvl w:ilvl="7" w:tplc="18AAA3C2" w:tentative="1">
      <w:start w:val="1"/>
      <w:numFmt w:val="bullet"/>
      <w:lvlText w:val=""/>
      <w:lvlPicBulletId w:val="0"/>
      <w:lvlJc w:val="left"/>
      <w:pPr>
        <w:tabs>
          <w:tab w:val="num" w:pos="5760"/>
        </w:tabs>
        <w:ind w:left="5760" w:hanging="360"/>
      </w:pPr>
      <w:rPr>
        <w:rFonts w:ascii="Symbol" w:hAnsi="Symbol" w:hint="default"/>
      </w:rPr>
    </w:lvl>
    <w:lvl w:ilvl="8" w:tplc="BEA082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D405E"/>
    <w:multiLevelType w:val="hybridMultilevel"/>
    <w:tmpl w:val="23AE359A"/>
    <w:lvl w:ilvl="0" w:tplc="BAC6D5D8">
      <w:start w:val="1"/>
      <w:numFmt w:val="bullet"/>
      <w:lvlText w:val="−"/>
      <w:lvlJc w:val="left"/>
      <w:pPr>
        <w:tabs>
          <w:tab w:val="num" w:pos="360"/>
        </w:tabs>
        <w:ind w:left="360" w:hanging="360"/>
      </w:pPr>
      <w:rPr>
        <w:rFonts w:ascii="Calibre Regular" w:hAnsi="Calibre Regular" w:hint="default"/>
      </w:rPr>
    </w:lvl>
    <w:lvl w:ilvl="1" w:tplc="769CAE34">
      <w:start w:val="1"/>
      <w:numFmt w:val="bullet"/>
      <w:lvlText w:val="−"/>
      <w:lvlJc w:val="left"/>
      <w:pPr>
        <w:tabs>
          <w:tab w:val="num" w:pos="1080"/>
        </w:tabs>
        <w:ind w:left="1080" w:hanging="360"/>
      </w:pPr>
      <w:rPr>
        <w:rFonts w:ascii="Calibre Regular" w:hAnsi="Calibre Regular" w:hint="default"/>
      </w:rPr>
    </w:lvl>
    <w:lvl w:ilvl="2" w:tplc="91A84C1A" w:tentative="1">
      <w:start w:val="1"/>
      <w:numFmt w:val="bullet"/>
      <w:lvlText w:val="−"/>
      <w:lvlJc w:val="left"/>
      <w:pPr>
        <w:tabs>
          <w:tab w:val="num" w:pos="1800"/>
        </w:tabs>
        <w:ind w:left="1800" w:hanging="360"/>
      </w:pPr>
      <w:rPr>
        <w:rFonts w:ascii="Calibre Regular" w:hAnsi="Calibre Regular" w:hint="default"/>
      </w:rPr>
    </w:lvl>
    <w:lvl w:ilvl="3" w:tplc="EE40AE26" w:tentative="1">
      <w:start w:val="1"/>
      <w:numFmt w:val="bullet"/>
      <w:lvlText w:val="−"/>
      <w:lvlJc w:val="left"/>
      <w:pPr>
        <w:tabs>
          <w:tab w:val="num" w:pos="2520"/>
        </w:tabs>
        <w:ind w:left="2520" w:hanging="360"/>
      </w:pPr>
      <w:rPr>
        <w:rFonts w:ascii="Calibre Regular" w:hAnsi="Calibre Regular" w:hint="default"/>
      </w:rPr>
    </w:lvl>
    <w:lvl w:ilvl="4" w:tplc="775EC060" w:tentative="1">
      <w:start w:val="1"/>
      <w:numFmt w:val="bullet"/>
      <w:lvlText w:val="−"/>
      <w:lvlJc w:val="left"/>
      <w:pPr>
        <w:tabs>
          <w:tab w:val="num" w:pos="3240"/>
        </w:tabs>
        <w:ind w:left="3240" w:hanging="360"/>
      </w:pPr>
      <w:rPr>
        <w:rFonts w:ascii="Calibre Regular" w:hAnsi="Calibre Regular" w:hint="default"/>
      </w:rPr>
    </w:lvl>
    <w:lvl w:ilvl="5" w:tplc="A2449610" w:tentative="1">
      <w:start w:val="1"/>
      <w:numFmt w:val="bullet"/>
      <w:lvlText w:val="−"/>
      <w:lvlJc w:val="left"/>
      <w:pPr>
        <w:tabs>
          <w:tab w:val="num" w:pos="3960"/>
        </w:tabs>
        <w:ind w:left="3960" w:hanging="360"/>
      </w:pPr>
      <w:rPr>
        <w:rFonts w:ascii="Calibre Regular" w:hAnsi="Calibre Regular" w:hint="default"/>
      </w:rPr>
    </w:lvl>
    <w:lvl w:ilvl="6" w:tplc="5DA4C6A4" w:tentative="1">
      <w:start w:val="1"/>
      <w:numFmt w:val="bullet"/>
      <w:lvlText w:val="−"/>
      <w:lvlJc w:val="left"/>
      <w:pPr>
        <w:tabs>
          <w:tab w:val="num" w:pos="4680"/>
        </w:tabs>
        <w:ind w:left="4680" w:hanging="360"/>
      </w:pPr>
      <w:rPr>
        <w:rFonts w:ascii="Calibre Regular" w:hAnsi="Calibre Regular" w:hint="default"/>
      </w:rPr>
    </w:lvl>
    <w:lvl w:ilvl="7" w:tplc="1AAE0194" w:tentative="1">
      <w:start w:val="1"/>
      <w:numFmt w:val="bullet"/>
      <w:lvlText w:val="−"/>
      <w:lvlJc w:val="left"/>
      <w:pPr>
        <w:tabs>
          <w:tab w:val="num" w:pos="5400"/>
        </w:tabs>
        <w:ind w:left="5400" w:hanging="360"/>
      </w:pPr>
      <w:rPr>
        <w:rFonts w:ascii="Calibre Regular" w:hAnsi="Calibre Regular" w:hint="default"/>
      </w:rPr>
    </w:lvl>
    <w:lvl w:ilvl="8" w:tplc="E4E23ABA" w:tentative="1">
      <w:start w:val="1"/>
      <w:numFmt w:val="bullet"/>
      <w:lvlText w:val="−"/>
      <w:lvlJc w:val="left"/>
      <w:pPr>
        <w:tabs>
          <w:tab w:val="num" w:pos="6120"/>
        </w:tabs>
        <w:ind w:left="6120" w:hanging="360"/>
      </w:pPr>
      <w:rPr>
        <w:rFonts w:ascii="Calibre Regular" w:hAnsi="Calibre Regular" w:hint="default"/>
      </w:rPr>
    </w:lvl>
  </w:abstractNum>
  <w:abstractNum w:abstractNumId="10"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42E5A"/>
    <w:multiLevelType w:val="hybridMultilevel"/>
    <w:tmpl w:val="2BA6FF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F78CF"/>
    <w:multiLevelType w:val="hybridMultilevel"/>
    <w:tmpl w:val="DDD0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451215"/>
    <w:multiLevelType w:val="hybridMultilevel"/>
    <w:tmpl w:val="462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132A3"/>
    <w:multiLevelType w:val="hybridMultilevel"/>
    <w:tmpl w:val="C052BD6C"/>
    <w:lvl w:ilvl="0" w:tplc="5F18787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007792"/>
    <w:multiLevelType w:val="hybridMultilevel"/>
    <w:tmpl w:val="C636B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7E3840"/>
    <w:multiLevelType w:val="multilevel"/>
    <w:tmpl w:val="BA469614"/>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B601F8"/>
    <w:multiLevelType w:val="hybridMultilevel"/>
    <w:tmpl w:val="87DE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B28EB"/>
    <w:multiLevelType w:val="hybridMultilevel"/>
    <w:tmpl w:val="B0AE716A"/>
    <w:lvl w:ilvl="0" w:tplc="0122CE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682327"/>
    <w:multiLevelType w:val="hybridMultilevel"/>
    <w:tmpl w:val="A43CFD82"/>
    <w:lvl w:ilvl="0" w:tplc="0AC474F4">
      <w:start w:val="1"/>
      <w:numFmt w:val="bullet"/>
      <w:lvlText w:val=""/>
      <w:lvlPicBulletId w:val="0"/>
      <w:lvlJc w:val="left"/>
      <w:pPr>
        <w:tabs>
          <w:tab w:val="num" w:pos="720"/>
        </w:tabs>
        <w:ind w:left="720" w:hanging="360"/>
      </w:pPr>
      <w:rPr>
        <w:rFonts w:ascii="Symbol" w:hAnsi="Symbol" w:hint="default"/>
      </w:rPr>
    </w:lvl>
    <w:lvl w:ilvl="1" w:tplc="2A30C4E4">
      <w:start w:val="39"/>
      <w:numFmt w:val="bullet"/>
      <w:lvlText w:val="−"/>
      <w:lvlJc w:val="left"/>
      <w:pPr>
        <w:tabs>
          <w:tab w:val="num" w:pos="1440"/>
        </w:tabs>
        <w:ind w:left="1440" w:hanging="360"/>
      </w:pPr>
      <w:rPr>
        <w:rFonts w:ascii="Calibre Regular" w:hAnsi="Calibre Regular" w:hint="default"/>
      </w:rPr>
    </w:lvl>
    <w:lvl w:ilvl="2" w:tplc="D36A1F52" w:tentative="1">
      <w:start w:val="1"/>
      <w:numFmt w:val="bullet"/>
      <w:lvlText w:val=""/>
      <w:lvlPicBulletId w:val="0"/>
      <w:lvlJc w:val="left"/>
      <w:pPr>
        <w:tabs>
          <w:tab w:val="num" w:pos="2160"/>
        </w:tabs>
        <w:ind w:left="2160" w:hanging="360"/>
      </w:pPr>
      <w:rPr>
        <w:rFonts w:ascii="Symbol" w:hAnsi="Symbol" w:hint="default"/>
      </w:rPr>
    </w:lvl>
    <w:lvl w:ilvl="3" w:tplc="DBC241D0" w:tentative="1">
      <w:start w:val="1"/>
      <w:numFmt w:val="bullet"/>
      <w:lvlText w:val=""/>
      <w:lvlPicBulletId w:val="0"/>
      <w:lvlJc w:val="left"/>
      <w:pPr>
        <w:tabs>
          <w:tab w:val="num" w:pos="2880"/>
        </w:tabs>
        <w:ind w:left="2880" w:hanging="360"/>
      </w:pPr>
      <w:rPr>
        <w:rFonts w:ascii="Symbol" w:hAnsi="Symbol" w:hint="default"/>
      </w:rPr>
    </w:lvl>
    <w:lvl w:ilvl="4" w:tplc="256635C6" w:tentative="1">
      <w:start w:val="1"/>
      <w:numFmt w:val="bullet"/>
      <w:lvlText w:val=""/>
      <w:lvlPicBulletId w:val="0"/>
      <w:lvlJc w:val="left"/>
      <w:pPr>
        <w:tabs>
          <w:tab w:val="num" w:pos="3600"/>
        </w:tabs>
        <w:ind w:left="3600" w:hanging="360"/>
      </w:pPr>
      <w:rPr>
        <w:rFonts w:ascii="Symbol" w:hAnsi="Symbol" w:hint="default"/>
      </w:rPr>
    </w:lvl>
    <w:lvl w:ilvl="5" w:tplc="3AF67A42" w:tentative="1">
      <w:start w:val="1"/>
      <w:numFmt w:val="bullet"/>
      <w:lvlText w:val=""/>
      <w:lvlPicBulletId w:val="0"/>
      <w:lvlJc w:val="left"/>
      <w:pPr>
        <w:tabs>
          <w:tab w:val="num" w:pos="4320"/>
        </w:tabs>
        <w:ind w:left="4320" w:hanging="360"/>
      </w:pPr>
      <w:rPr>
        <w:rFonts w:ascii="Symbol" w:hAnsi="Symbol" w:hint="default"/>
      </w:rPr>
    </w:lvl>
    <w:lvl w:ilvl="6" w:tplc="910A96D6" w:tentative="1">
      <w:start w:val="1"/>
      <w:numFmt w:val="bullet"/>
      <w:lvlText w:val=""/>
      <w:lvlPicBulletId w:val="0"/>
      <w:lvlJc w:val="left"/>
      <w:pPr>
        <w:tabs>
          <w:tab w:val="num" w:pos="5040"/>
        </w:tabs>
        <w:ind w:left="5040" w:hanging="360"/>
      </w:pPr>
      <w:rPr>
        <w:rFonts w:ascii="Symbol" w:hAnsi="Symbol" w:hint="default"/>
      </w:rPr>
    </w:lvl>
    <w:lvl w:ilvl="7" w:tplc="1318BC84" w:tentative="1">
      <w:start w:val="1"/>
      <w:numFmt w:val="bullet"/>
      <w:lvlText w:val=""/>
      <w:lvlPicBulletId w:val="0"/>
      <w:lvlJc w:val="left"/>
      <w:pPr>
        <w:tabs>
          <w:tab w:val="num" w:pos="5760"/>
        </w:tabs>
        <w:ind w:left="5760" w:hanging="360"/>
      </w:pPr>
      <w:rPr>
        <w:rFonts w:ascii="Symbol" w:hAnsi="Symbol" w:hint="default"/>
      </w:rPr>
    </w:lvl>
    <w:lvl w:ilvl="8" w:tplc="89002C7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ADA56D8"/>
    <w:multiLevelType w:val="hybridMultilevel"/>
    <w:tmpl w:val="79FC5F64"/>
    <w:lvl w:ilvl="0" w:tplc="C73A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C703BC"/>
    <w:multiLevelType w:val="hybridMultilevel"/>
    <w:tmpl w:val="C1B61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24CA0"/>
    <w:multiLevelType w:val="hybridMultilevel"/>
    <w:tmpl w:val="A274D44C"/>
    <w:lvl w:ilvl="0" w:tplc="067645EC">
      <w:start w:val="1"/>
      <w:numFmt w:val="bullet"/>
      <w:lvlText w:val="•"/>
      <w:lvlJc w:val="left"/>
      <w:pPr>
        <w:tabs>
          <w:tab w:val="num" w:pos="720"/>
        </w:tabs>
        <w:ind w:left="720" w:hanging="360"/>
      </w:pPr>
      <w:rPr>
        <w:rFonts w:ascii="Arial" w:hAnsi="Arial" w:hint="default"/>
      </w:rPr>
    </w:lvl>
    <w:lvl w:ilvl="1" w:tplc="E3D8755A" w:tentative="1">
      <w:start w:val="1"/>
      <w:numFmt w:val="bullet"/>
      <w:lvlText w:val="•"/>
      <w:lvlJc w:val="left"/>
      <w:pPr>
        <w:tabs>
          <w:tab w:val="num" w:pos="1440"/>
        </w:tabs>
        <w:ind w:left="1440" w:hanging="360"/>
      </w:pPr>
      <w:rPr>
        <w:rFonts w:ascii="Arial" w:hAnsi="Arial" w:hint="default"/>
      </w:rPr>
    </w:lvl>
    <w:lvl w:ilvl="2" w:tplc="A0CC1CBA" w:tentative="1">
      <w:start w:val="1"/>
      <w:numFmt w:val="bullet"/>
      <w:lvlText w:val="•"/>
      <w:lvlJc w:val="left"/>
      <w:pPr>
        <w:tabs>
          <w:tab w:val="num" w:pos="2160"/>
        </w:tabs>
        <w:ind w:left="2160" w:hanging="360"/>
      </w:pPr>
      <w:rPr>
        <w:rFonts w:ascii="Arial" w:hAnsi="Arial" w:hint="default"/>
      </w:rPr>
    </w:lvl>
    <w:lvl w:ilvl="3" w:tplc="5C209440" w:tentative="1">
      <w:start w:val="1"/>
      <w:numFmt w:val="bullet"/>
      <w:lvlText w:val="•"/>
      <w:lvlJc w:val="left"/>
      <w:pPr>
        <w:tabs>
          <w:tab w:val="num" w:pos="2880"/>
        </w:tabs>
        <w:ind w:left="2880" w:hanging="360"/>
      </w:pPr>
      <w:rPr>
        <w:rFonts w:ascii="Arial" w:hAnsi="Arial" w:hint="default"/>
      </w:rPr>
    </w:lvl>
    <w:lvl w:ilvl="4" w:tplc="F33C0CE2" w:tentative="1">
      <w:start w:val="1"/>
      <w:numFmt w:val="bullet"/>
      <w:lvlText w:val="•"/>
      <w:lvlJc w:val="left"/>
      <w:pPr>
        <w:tabs>
          <w:tab w:val="num" w:pos="3600"/>
        </w:tabs>
        <w:ind w:left="3600" w:hanging="360"/>
      </w:pPr>
      <w:rPr>
        <w:rFonts w:ascii="Arial" w:hAnsi="Arial" w:hint="default"/>
      </w:rPr>
    </w:lvl>
    <w:lvl w:ilvl="5" w:tplc="B024F2D2" w:tentative="1">
      <w:start w:val="1"/>
      <w:numFmt w:val="bullet"/>
      <w:lvlText w:val="•"/>
      <w:lvlJc w:val="left"/>
      <w:pPr>
        <w:tabs>
          <w:tab w:val="num" w:pos="4320"/>
        </w:tabs>
        <w:ind w:left="4320" w:hanging="360"/>
      </w:pPr>
      <w:rPr>
        <w:rFonts w:ascii="Arial" w:hAnsi="Arial" w:hint="default"/>
      </w:rPr>
    </w:lvl>
    <w:lvl w:ilvl="6" w:tplc="E4008F0C" w:tentative="1">
      <w:start w:val="1"/>
      <w:numFmt w:val="bullet"/>
      <w:lvlText w:val="•"/>
      <w:lvlJc w:val="left"/>
      <w:pPr>
        <w:tabs>
          <w:tab w:val="num" w:pos="5040"/>
        </w:tabs>
        <w:ind w:left="5040" w:hanging="360"/>
      </w:pPr>
      <w:rPr>
        <w:rFonts w:ascii="Arial" w:hAnsi="Arial" w:hint="default"/>
      </w:rPr>
    </w:lvl>
    <w:lvl w:ilvl="7" w:tplc="63E85A32" w:tentative="1">
      <w:start w:val="1"/>
      <w:numFmt w:val="bullet"/>
      <w:lvlText w:val="•"/>
      <w:lvlJc w:val="left"/>
      <w:pPr>
        <w:tabs>
          <w:tab w:val="num" w:pos="5760"/>
        </w:tabs>
        <w:ind w:left="5760" w:hanging="360"/>
      </w:pPr>
      <w:rPr>
        <w:rFonts w:ascii="Arial" w:hAnsi="Arial" w:hint="default"/>
      </w:rPr>
    </w:lvl>
    <w:lvl w:ilvl="8" w:tplc="A82E605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A04D1"/>
    <w:multiLevelType w:val="hybridMultilevel"/>
    <w:tmpl w:val="F9BE866C"/>
    <w:lvl w:ilvl="0" w:tplc="78861B70">
      <w:start w:val="1"/>
      <w:numFmt w:val="bullet"/>
      <w:lvlText w:val=""/>
      <w:lvlPicBulletId w:val="0"/>
      <w:lvlJc w:val="left"/>
      <w:pPr>
        <w:tabs>
          <w:tab w:val="num" w:pos="720"/>
        </w:tabs>
        <w:ind w:left="720" w:hanging="360"/>
      </w:pPr>
      <w:rPr>
        <w:rFonts w:ascii="Symbol" w:hAnsi="Symbol" w:hint="default"/>
      </w:rPr>
    </w:lvl>
    <w:lvl w:ilvl="1" w:tplc="E0BC06F4">
      <w:start w:val="39"/>
      <w:numFmt w:val="bullet"/>
      <w:lvlText w:val="−"/>
      <w:lvlJc w:val="left"/>
      <w:pPr>
        <w:tabs>
          <w:tab w:val="num" w:pos="1440"/>
        </w:tabs>
        <w:ind w:left="1440" w:hanging="360"/>
      </w:pPr>
      <w:rPr>
        <w:rFonts w:ascii="Calibre Regular" w:hAnsi="Calibre Regular" w:hint="default"/>
      </w:rPr>
    </w:lvl>
    <w:lvl w:ilvl="2" w:tplc="0A607F6C">
      <w:start w:val="39"/>
      <w:numFmt w:val="bullet"/>
      <w:lvlText w:val="−"/>
      <w:lvlJc w:val="left"/>
      <w:pPr>
        <w:tabs>
          <w:tab w:val="num" w:pos="2160"/>
        </w:tabs>
        <w:ind w:left="2160" w:hanging="360"/>
      </w:pPr>
      <w:rPr>
        <w:rFonts w:ascii="Calibre Regular" w:hAnsi="Calibre Regular" w:hint="default"/>
      </w:rPr>
    </w:lvl>
    <w:lvl w:ilvl="3" w:tplc="EB7448CE" w:tentative="1">
      <w:start w:val="1"/>
      <w:numFmt w:val="bullet"/>
      <w:lvlText w:val=""/>
      <w:lvlPicBulletId w:val="0"/>
      <w:lvlJc w:val="left"/>
      <w:pPr>
        <w:tabs>
          <w:tab w:val="num" w:pos="2880"/>
        </w:tabs>
        <w:ind w:left="2880" w:hanging="360"/>
      </w:pPr>
      <w:rPr>
        <w:rFonts w:ascii="Symbol" w:hAnsi="Symbol" w:hint="default"/>
      </w:rPr>
    </w:lvl>
    <w:lvl w:ilvl="4" w:tplc="55E8046E" w:tentative="1">
      <w:start w:val="1"/>
      <w:numFmt w:val="bullet"/>
      <w:lvlText w:val=""/>
      <w:lvlPicBulletId w:val="0"/>
      <w:lvlJc w:val="left"/>
      <w:pPr>
        <w:tabs>
          <w:tab w:val="num" w:pos="3600"/>
        </w:tabs>
        <w:ind w:left="3600" w:hanging="360"/>
      </w:pPr>
      <w:rPr>
        <w:rFonts w:ascii="Symbol" w:hAnsi="Symbol" w:hint="default"/>
      </w:rPr>
    </w:lvl>
    <w:lvl w:ilvl="5" w:tplc="45649BEE" w:tentative="1">
      <w:start w:val="1"/>
      <w:numFmt w:val="bullet"/>
      <w:lvlText w:val=""/>
      <w:lvlPicBulletId w:val="0"/>
      <w:lvlJc w:val="left"/>
      <w:pPr>
        <w:tabs>
          <w:tab w:val="num" w:pos="4320"/>
        </w:tabs>
        <w:ind w:left="4320" w:hanging="360"/>
      </w:pPr>
      <w:rPr>
        <w:rFonts w:ascii="Symbol" w:hAnsi="Symbol" w:hint="default"/>
      </w:rPr>
    </w:lvl>
    <w:lvl w:ilvl="6" w:tplc="864EE518" w:tentative="1">
      <w:start w:val="1"/>
      <w:numFmt w:val="bullet"/>
      <w:lvlText w:val=""/>
      <w:lvlPicBulletId w:val="0"/>
      <w:lvlJc w:val="left"/>
      <w:pPr>
        <w:tabs>
          <w:tab w:val="num" w:pos="5040"/>
        </w:tabs>
        <w:ind w:left="5040" w:hanging="360"/>
      </w:pPr>
      <w:rPr>
        <w:rFonts w:ascii="Symbol" w:hAnsi="Symbol" w:hint="default"/>
      </w:rPr>
    </w:lvl>
    <w:lvl w:ilvl="7" w:tplc="5BAE87EE" w:tentative="1">
      <w:start w:val="1"/>
      <w:numFmt w:val="bullet"/>
      <w:lvlText w:val=""/>
      <w:lvlPicBulletId w:val="0"/>
      <w:lvlJc w:val="left"/>
      <w:pPr>
        <w:tabs>
          <w:tab w:val="num" w:pos="5760"/>
        </w:tabs>
        <w:ind w:left="5760" w:hanging="360"/>
      </w:pPr>
      <w:rPr>
        <w:rFonts w:ascii="Symbol" w:hAnsi="Symbol" w:hint="default"/>
      </w:rPr>
    </w:lvl>
    <w:lvl w:ilvl="8" w:tplc="44D62EB6"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3463BCB"/>
    <w:multiLevelType w:val="hybridMultilevel"/>
    <w:tmpl w:val="1B247B9E"/>
    <w:lvl w:ilvl="0" w:tplc="F73AF2BE">
      <w:start w:val="1"/>
      <w:numFmt w:val="bullet"/>
      <w:lvlText w:val=""/>
      <w:lvlPicBulletId w:val="0"/>
      <w:lvlJc w:val="left"/>
      <w:pPr>
        <w:tabs>
          <w:tab w:val="num" w:pos="720"/>
        </w:tabs>
        <w:ind w:left="720" w:hanging="360"/>
      </w:pPr>
      <w:rPr>
        <w:rFonts w:ascii="Symbol" w:hAnsi="Symbol" w:hint="default"/>
      </w:rPr>
    </w:lvl>
    <w:lvl w:ilvl="1" w:tplc="22A8CCCE" w:tentative="1">
      <w:start w:val="1"/>
      <w:numFmt w:val="bullet"/>
      <w:lvlText w:val=""/>
      <w:lvlPicBulletId w:val="0"/>
      <w:lvlJc w:val="left"/>
      <w:pPr>
        <w:tabs>
          <w:tab w:val="num" w:pos="1440"/>
        </w:tabs>
        <w:ind w:left="1440" w:hanging="360"/>
      </w:pPr>
      <w:rPr>
        <w:rFonts w:ascii="Symbol" w:hAnsi="Symbol" w:hint="default"/>
      </w:rPr>
    </w:lvl>
    <w:lvl w:ilvl="2" w:tplc="714C0BDA" w:tentative="1">
      <w:start w:val="1"/>
      <w:numFmt w:val="bullet"/>
      <w:lvlText w:val=""/>
      <w:lvlPicBulletId w:val="0"/>
      <w:lvlJc w:val="left"/>
      <w:pPr>
        <w:tabs>
          <w:tab w:val="num" w:pos="2160"/>
        </w:tabs>
        <w:ind w:left="2160" w:hanging="360"/>
      </w:pPr>
      <w:rPr>
        <w:rFonts w:ascii="Symbol" w:hAnsi="Symbol" w:hint="default"/>
      </w:rPr>
    </w:lvl>
    <w:lvl w:ilvl="3" w:tplc="1702229E" w:tentative="1">
      <w:start w:val="1"/>
      <w:numFmt w:val="bullet"/>
      <w:lvlText w:val=""/>
      <w:lvlPicBulletId w:val="0"/>
      <w:lvlJc w:val="left"/>
      <w:pPr>
        <w:tabs>
          <w:tab w:val="num" w:pos="2880"/>
        </w:tabs>
        <w:ind w:left="2880" w:hanging="360"/>
      </w:pPr>
      <w:rPr>
        <w:rFonts w:ascii="Symbol" w:hAnsi="Symbol" w:hint="default"/>
      </w:rPr>
    </w:lvl>
    <w:lvl w:ilvl="4" w:tplc="7A80F7F2" w:tentative="1">
      <w:start w:val="1"/>
      <w:numFmt w:val="bullet"/>
      <w:lvlText w:val=""/>
      <w:lvlPicBulletId w:val="0"/>
      <w:lvlJc w:val="left"/>
      <w:pPr>
        <w:tabs>
          <w:tab w:val="num" w:pos="3600"/>
        </w:tabs>
        <w:ind w:left="3600" w:hanging="360"/>
      </w:pPr>
      <w:rPr>
        <w:rFonts w:ascii="Symbol" w:hAnsi="Symbol" w:hint="default"/>
      </w:rPr>
    </w:lvl>
    <w:lvl w:ilvl="5" w:tplc="90CC6A8C" w:tentative="1">
      <w:start w:val="1"/>
      <w:numFmt w:val="bullet"/>
      <w:lvlText w:val=""/>
      <w:lvlPicBulletId w:val="0"/>
      <w:lvlJc w:val="left"/>
      <w:pPr>
        <w:tabs>
          <w:tab w:val="num" w:pos="4320"/>
        </w:tabs>
        <w:ind w:left="4320" w:hanging="360"/>
      </w:pPr>
      <w:rPr>
        <w:rFonts w:ascii="Symbol" w:hAnsi="Symbol" w:hint="default"/>
      </w:rPr>
    </w:lvl>
    <w:lvl w:ilvl="6" w:tplc="0A9EC8B8" w:tentative="1">
      <w:start w:val="1"/>
      <w:numFmt w:val="bullet"/>
      <w:lvlText w:val=""/>
      <w:lvlPicBulletId w:val="0"/>
      <w:lvlJc w:val="left"/>
      <w:pPr>
        <w:tabs>
          <w:tab w:val="num" w:pos="5040"/>
        </w:tabs>
        <w:ind w:left="5040" w:hanging="360"/>
      </w:pPr>
      <w:rPr>
        <w:rFonts w:ascii="Symbol" w:hAnsi="Symbol" w:hint="default"/>
      </w:rPr>
    </w:lvl>
    <w:lvl w:ilvl="7" w:tplc="E87A499E" w:tentative="1">
      <w:start w:val="1"/>
      <w:numFmt w:val="bullet"/>
      <w:lvlText w:val=""/>
      <w:lvlPicBulletId w:val="0"/>
      <w:lvlJc w:val="left"/>
      <w:pPr>
        <w:tabs>
          <w:tab w:val="num" w:pos="5760"/>
        </w:tabs>
        <w:ind w:left="5760" w:hanging="360"/>
      </w:pPr>
      <w:rPr>
        <w:rFonts w:ascii="Symbol" w:hAnsi="Symbol" w:hint="default"/>
      </w:rPr>
    </w:lvl>
    <w:lvl w:ilvl="8" w:tplc="A67EDF04"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44909CE"/>
    <w:multiLevelType w:val="hybridMultilevel"/>
    <w:tmpl w:val="C520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963"/>
    <w:multiLevelType w:val="hybridMultilevel"/>
    <w:tmpl w:val="38EAD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669CC"/>
    <w:multiLevelType w:val="hybridMultilevel"/>
    <w:tmpl w:val="F31A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6"/>
  </w:num>
  <w:num w:numId="3">
    <w:abstractNumId w:val="26"/>
  </w:num>
  <w:num w:numId="4">
    <w:abstractNumId w:val="5"/>
  </w:num>
  <w:num w:numId="5">
    <w:abstractNumId w:val="12"/>
  </w:num>
  <w:num w:numId="6">
    <w:abstractNumId w:val="42"/>
  </w:num>
  <w:num w:numId="7">
    <w:abstractNumId w:val="21"/>
  </w:num>
  <w:num w:numId="8">
    <w:abstractNumId w:val="22"/>
  </w:num>
  <w:num w:numId="9">
    <w:abstractNumId w:val="20"/>
  </w:num>
  <w:num w:numId="10">
    <w:abstractNumId w:val="32"/>
  </w:num>
  <w:num w:numId="11">
    <w:abstractNumId w:val="8"/>
  </w:num>
  <w:num w:numId="12">
    <w:abstractNumId w:val="13"/>
  </w:num>
  <w:num w:numId="13">
    <w:abstractNumId w:val="11"/>
  </w:num>
  <w:num w:numId="14">
    <w:abstractNumId w:val="10"/>
  </w:num>
  <w:num w:numId="15">
    <w:abstractNumId w:val="38"/>
  </w:num>
  <w:num w:numId="16">
    <w:abstractNumId w:val="46"/>
  </w:num>
  <w:num w:numId="17">
    <w:abstractNumId w:val="23"/>
  </w:num>
  <w:num w:numId="18">
    <w:abstractNumId w:val="35"/>
  </w:num>
  <w:num w:numId="19">
    <w:abstractNumId w:val="45"/>
  </w:num>
  <w:num w:numId="20">
    <w:abstractNumId w:val="28"/>
  </w:num>
  <w:num w:numId="21">
    <w:abstractNumId w:val="39"/>
  </w:num>
  <w:num w:numId="22">
    <w:abstractNumId w:val="43"/>
  </w:num>
  <w:num w:numId="23">
    <w:abstractNumId w:val="15"/>
  </w:num>
  <w:num w:numId="24">
    <w:abstractNumId w:val="25"/>
  </w:num>
  <w:num w:numId="25">
    <w:abstractNumId w:val="4"/>
  </w:num>
  <w:num w:numId="26">
    <w:abstractNumId w:val="41"/>
  </w:num>
  <w:num w:numId="27">
    <w:abstractNumId w:val="16"/>
  </w:num>
  <w:num w:numId="28">
    <w:abstractNumId w:val="40"/>
  </w:num>
  <w:num w:numId="29">
    <w:abstractNumId w:val="44"/>
  </w:num>
  <w:num w:numId="30">
    <w:abstractNumId w:val="3"/>
  </w:num>
  <w:num w:numId="31">
    <w:abstractNumId w:val="17"/>
  </w:num>
  <w:num w:numId="32">
    <w:abstractNumId w:val="1"/>
  </w:num>
  <w:num w:numId="33">
    <w:abstractNumId w:val="31"/>
  </w:num>
  <w:num w:numId="34">
    <w:abstractNumId w:val="29"/>
  </w:num>
  <w:num w:numId="35">
    <w:abstractNumId w:val="33"/>
  </w:num>
  <w:num w:numId="36">
    <w:abstractNumId w:val="0"/>
  </w:num>
  <w:num w:numId="37">
    <w:abstractNumId w:val="9"/>
  </w:num>
  <w:num w:numId="38">
    <w:abstractNumId w:val="30"/>
  </w:num>
  <w:num w:numId="39">
    <w:abstractNumId w:val="24"/>
  </w:num>
  <w:num w:numId="40">
    <w:abstractNumId w:val="37"/>
  </w:num>
  <w:num w:numId="41">
    <w:abstractNumId w:val="7"/>
  </w:num>
  <w:num w:numId="42">
    <w:abstractNumId w:val="36"/>
  </w:num>
  <w:num w:numId="43">
    <w:abstractNumId w:val="2"/>
  </w:num>
  <w:num w:numId="44">
    <w:abstractNumId w:val="27"/>
  </w:num>
  <w:num w:numId="45">
    <w:abstractNumId w:val="14"/>
  </w:num>
  <w:num w:numId="46">
    <w:abstractNumId w:val="18"/>
  </w:num>
  <w:num w:numId="47">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66AE"/>
    <w:rsid w:val="00026905"/>
    <w:rsid w:val="000300FE"/>
    <w:rsid w:val="00030CDB"/>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396"/>
    <w:rsid w:val="00077EB9"/>
    <w:rsid w:val="000801D8"/>
    <w:rsid w:val="00080783"/>
    <w:rsid w:val="0008257A"/>
    <w:rsid w:val="00083322"/>
    <w:rsid w:val="000840E7"/>
    <w:rsid w:val="00084255"/>
    <w:rsid w:val="000843B8"/>
    <w:rsid w:val="00084C78"/>
    <w:rsid w:val="00085465"/>
    <w:rsid w:val="00085C0B"/>
    <w:rsid w:val="00086602"/>
    <w:rsid w:val="00086864"/>
    <w:rsid w:val="00086B50"/>
    <w:rsid w:val="00087085"/>
    <w:rsid w:val="00087E29"/>
    <w:rsid w:val="00090323"/>
    <w:rsid w:val="000913D5"/>
    <w:rsid w:val="00091978"/>
    <w:rsid w:val="000931C3"/>
    <w:rsid w:val="00093618"/>
    <w:rsid w:val="00094EF2"/>
    <w:rsid w:val="00095489"/>
    <w:rsid w:val="0009559C"/>
    <w:rsid w:val="0009709B"/>
    <w:rsid w:val="000A0D72"/>
    <w:rsid w:val="000A0E99"/>
    <w:rsid w:val="000A19B6"/>
    <w:rsid w:val="000A1D49"/>
    <w:rsid w:val="000A1FB3"/>
    <w:rsid w:val="000A24BD"/>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035"/>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47FFC"/>
    <w:rsid w:val="0015019F"/>
    <w:rsid w:val="00151516"/>
    <w:rsid w:val="00151805"/>
    <w:rsid w:val="00151D5F"/>
    <w:rsid w:val="001529E0"/>
    <w:rsid w:val="00152BA8"/>
    <w:rsid w:val="00153A6B"/>
    <w:rsid w:val="00153E38"/>
    <w:rsid w:val="001544AB"/>
    <w:rsid w:val="0015452C"/>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262"/>
    <w:rsid w:val="00162BD5"/>
    <w:rsid w:val="001630E4"/>
    <w:rsid w:val="001639BC"/>
    <w:rsid w:val="0016465B"/>
    <w:rsid w:val="001647FA"/>
    <w:rsid w:val="00166868"/>
    <w:rsid w:val="001669CF"/>
    <w:rsid w:val="00167857"/>
    <w:rsid w:val="00167C50"/>
    <w:rsid w:val="00171FD2"/>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3F0E"/>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1A4"/>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0E90"/>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64A"/>
    <w:rsid w:val="00296FD8"/>
    <w:rsid w:val="0029743A"/>
    <w:rsid w:val="00297DBE"/>
    <w:rsid w:val="002A0724"/>
    <w:rsid w:val="002A07C1"/>
    <w:rsid w:val="002A08EC"/>
    <w:rsid w:val="002A1642"/>
    <w:rsid w:val="002A1DF0"/>
    <w:rsid w:val="002A205B"/>
    <w:rsid w:val="002A3511"/>
    <w:rsid w:val="002A3668"/>
    <w:rsid w:val="002A53DF"/>
    <w:rsid w:val="002B03CD"/>
    <w:rsid w:val="002B07BF"/>
    <w:rsid w:val="002B0805"/>
    <w:rsid w:val="002B09B2"/>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442"/>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8F5"/>
    <w:rsid w:val="002E6C03"/>
    <w:rsid w:val="002F0045"/>
    <w:rsid w:val="002F025B"/>
    <w:rsid w:val="002F0A26"/>
    <w:rsid w:val="002F1E03"/>
    <w:rsid w:val="002F2AE0"/>
    <w:rsid w:val="002F2FB7"/>
    <w:rsid w:val="002F3827"/>
    <w:rsid w:val="002F413F"/>
    <w:rsid w:val="002F44AD"/>
    <w:rsid w:val="002F45D3"/>
    <w:rsid w:val="002F48EE"/>
    <w:rsid w:val="002F53C6"/>
    <w:rsid w:val="002F5C18"/>
    <w:rsid w:val="002F5FDA"/>
    <w:rsid w:val="002F7D48"/>
    <w:rsid w:val="002F7E01"/>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64DE"/>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1D7D"/>
    <w:rsid w:val="003D2339"/>
    <w:rsid w:val="003D26AA"/>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5EE"/>
    <w:rsid w:val="00405EFB"/>
    <w:rsid w:val="0040689B"/>
    <w:rsid w:val="00406F4B"/>
    <w:rsid w:val="004073B0"/>
    <w:rsid w:val="0041093B"/>
    <w:rsid w:val="00410BEC"/>
    <w:rsid w:val="004110C3"/>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4837"/>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1B27"/>
    <w:rsid w:val="004820E3"/>
    <w:rsid w:val="00482F21"/>
    <w:rsid w:val="00483D11"/>
    <w:rsid w:val="00483D84"/>
    <w:rsid w:val="00483FB8"/>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D78D3"/>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62B0"/>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FCF"/>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38D"/>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320D"/>
    <w:rsid w:val="005A3468"/>
    <w:rsid w:val="005A35EA"/>
    <w:rsid w:val="005A36E3"/>
    <w:rsid w:val="005A4A64"/>
    <w:rsid w:val="005A50FE"/>
    <w:rsid w:val="005A59CF"/>
    <w:rsid w:val="005A6B27"/>
    <w:rsid w:val="005A6CB4"/>
    <w:rsid w:val="005A7ECD"/>
    <w:rsid w:val="005A7F72"/>
    <w:rsid w:val="005B097C"/>
    <w:rsid w:val="005B1CC4"/>
    <w:rsid w:val="005B1D3E"/>
    <w:rsid w:val="005B2EB8"/>
    <w:rsid w:val="005B33A1"/>
    <w:rsid w:val="005B5251"/>
    <w:rsid w:val="005B533B"/>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0EB9"/>
    <w:rsid w:val="005E1F47"/>
    <w:rsid w:val="005E260D"/>
    <w:rsid w:val="005E35FD"/>
    <w:rsid w:val="005E383F"/>
    <w:rsid w:val="005E5220"/>
    <w:rsid w:val="005E7698"/>
    <w:rsid w:val="005E77D7"/>
    <w:rsid w:val="005E7A94"/>
    <w:rsid w:val="005E7CAF"/>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4B0"/>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1B11"/>
    <w:rsid w:val="00621C0B"/>
    <w:rsid w:val="00621CAD"/>
    <w:rsid w:val="00622A7E"/>
    <w:rsid w:val="0062317C"/>
    <w:rsid w:val="00623802"/>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0A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78C"/>
    <w:rsid w:val="00755A2F"/>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11B"/>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5EA8"/>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0F5"/>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A8D"/>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7CFD"/>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2C4B"/>
    <w:rsid w:val="009331E9"/>
    <w:rsid w:val="00933241"/>
    <w:rsid w:val="00933DE4"/>
    <w:rsid w:val="009353FF"/>
    <w:rsid w:val="00935B7C"/>
    <w:rsid w:val="0093629E"/>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709"/>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928"/>
    <w:rsid w:val="009E732A"/>
    <w:rsid w:val="009E73D9"/>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68E"/>
    <w:rsid w:val="00A348AD"/>
    <w:rsid w:val="00A34AB8"/>
    <w:rsid w:val="00A3533F"/>
    <w:rsid w:val="00A3673E"/>
    <w:rsid w:val="00A36A51"/>
    <w:rsid w:val="00A37165"/>
    <w:rsid w:val="00A402CC"/>
    <w:rsid w:val="00A402D3"/>
    <w:rsid w:val="00A42777"/>
    <w:rsid w:val="00A43201"/>
    <w:rsid w:val="00A4329C"/>
    <w:rsid w:val="00A4339C"/>
    <w:rsid w:val="00A436C2"/>
    <w:rsid w:val="00A449D2"/>
    <w:rsid w:val="00A44E28"/>
    <w:rsid w:val="00A451F4"/>
    <w:rsid w:val="00A4528E"/>
    <w:rsid w:val="00A4570E"/>
    <w:rsid w:val="00A4648A"/>
    <w:rsid w:val="00A46B10"/>
    <w:rsid w:val="00A46FAD"/>
    <w:rsid w:val="00A472DB"/>
    <w:rsid w:val="00A5044D"/>
    <w:rsid w:val="00A50726"/>
    <w:rsid w:val="00A50B00"/>
    <w:rsid w:val="00A50E51"/>
    <w:rsid w:val="00A514EB"/>
    <w:rsid w:val="00A518FF"/>
    <w:rsid w:val="00A521E0"/>
    <w:rsid w:val="00A52BE9"/>
    <w:rsid w:val="00A53A79"/>
    <w:rsid w:val="00A53EF2"/>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A14"/>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4DC1"/>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6C"/>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D90"/>
    <w:rsid w:val="00B52A20"/>
    <w:rsid w:val="00B52D01"/>
    <w:rsid w:val="00B5470C"/>
    <w:rsid w:val="00B54CD5"/>
    <w:rsid w:val="00B5510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31BF"/>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47C"/>
    <w:rsid w:val="00BA659A"/>
    <w:rsid w:val="00BA68C1"/>
    <w:rsid w:val="00BA6C88"/>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4C34"/>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2F18"/>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68D9"/>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C71"/>
    <w:rsid w:val="00C82D09"/>
    <w:rsid w:val="00C82E5F"/>
    <w:rsid w:val="00C83234"/>
    <w:rsid w:val="00C8338A"/>
    <w:rsid w:val="00C84103"/>
    <w:rsid w:val="00C84711"/>
    <w:rsid w:val="00C8567F"/>
    <w:rsid w:val="00C8572A"/>
    <w:rsid w:val="00C85BCA"/>
    <w:rsid w:val="00C8650D"/>
    <w:rsid w:val="00C8781D"/>
    <w:rsid w:val="00C8794B"/>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904"/>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7A5"/>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245"/>
    <w:rsid w:val="00D535D2"/>
    <w:rsid w:val="00D53710"/>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1F29"/>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1307"/>
    <w:rsid w:val="00D820F3"/>
    <w:rsid w:val="00D822CA"/>
    <w:rsid w:val="00D84268"/>
    <w:rsid w:val="00D84515"/>
    <w:rsid w:val="00D84824"/>
    <w:rsid w:val="00D84F73"/>
    <w:rsid w:val="00D8666C"/>
    <w:rsid w:val="00D86B3B"/>
    <w:rsid w:val="00D876BB"/>
    <w:rsid w:val="00D8778A"/>
    <w:rsid w:val="00D87E48"/>
    <w:rsid w:val="00D90348"/>
    <w:rsid w:val="00D90446"/>
    <w:rsid w:val="00D90D31"/>
    <w:rsid w:val="00D9120D"/>
    <w:rsid w:val="00D912DF"/>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7458"/>
    <w:rsid w:val="00DA019E"/>
    <w:rsid w:val="00DA0590"/>
    <w:rsid w:val="00DA0F8E"/>
    <w:rsid w:val="00DA0FC0"/>
    <w:rsid w:val="00DA1176"/>
    <w:rsid w:val="00DA12A3"/>
    <w:rsid w:val="00DA1985"/>
    <w:rsid w:val="00DA1D80"/>
    <w:rsid w:val="00DA2046"/>
    <w:rsid w:val="00DA2BCC"/>
    <w:rsid w:val="00DA30FB"/>
    <w:rsid w:val="00DA3F00"/>
    <w:rsid w:val="00DA59CE"/>
    <w:rsid w:val="00DA631B"/>
    <w:rsid w:val="00DA6B8E"/>
    <w:rsid w:val="00DA7074"/>
    <w:rsid w:val="00DA727D"/>
    <w:rsid w:val="00DA74E7"/>
    <w:rsid w:val="00DA773F"/>
    <w:rsid w:val="00DA7BC7"/>
    <w:rsid w:val="00DB0564"/>
    <w:rsid w:val="00DB0DF2"/>
    <w:rsid w:val="00DB1539"/>
    <w:rsid w:val="00DB2014"/>
    <w:rsid w:val="00DB21E6"/>
    <w:rsid w:val="00DB220E"/>
    <w:rsid w:val="00DB2369"/>
    <w:rsid w:val="00DB2559"/>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D71"/>
    <w:rsid w:val="00DC4A29"/>
    <w:rsid w:val="00DC4A38"/>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36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2D17"/>
    <w:rsid w:val="00E632C3"/>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1FD"/>
    <w:rsid w:val="00E73E01"/>
    <w:rsid w:val="00E745BF"/>
    <w:rsid w:val="00E74697"/>
    <w:rsid w:val="00E74F1D"/>
    <w:rsid w:val="00E758C0"/>
    <w:rsid w:val="00E758F4"/>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81"/>
    <w:rsid w:val="00E94C76"/>
    <w:rsid w:val="00E9572A"/>
    <w:rsid w:val="00E958C1"/>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730"/>
    <w:rsid w:val="00EA42BA"/>
    <w:rsid w:val="00EA4F96"/>
    <w:rsid w:val="00EA531A"/>
    <w:rsid w:val="00EA589B"/>
    <w:rsid w:val="00EA7035"/>
    <w:rsid w:val="00EA7499"/>
    <w:rsid w:val="00EA74E3"/>
    <w:rsid w:val="00EA7744"/>
    <w:rsid w:val="00EA7ADD"/>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2D0B"/>
    <w:rsid w:val="00F0301D"/>
    <w:rsid w:val="00F03891"/>
    <w:rsid w:val="00F046B1"/>
    <w:rsid w:val="00F04CF6"/>
    <w:rsid w:val="00F04ED5"/>
    <w:rsid w:val="00F05BA0"/>
    <w:rsid w:val="00F05EED"/>
    <w:rsid w:val="00F062B0"/>
    <w:rsid w:val="00F06F02"/>
    <w:rsid w:val="00F077C0"/>
    <w:rsid w:val="00F0783A"/>
    <w:rsid w:val="00F07C4E"/>
    <w:rsid w:val="00F114EF"/>
    <w:rsid w:val="00F122F2"/>
    <w:rsid w:val="00F14351"/>
    <w:rsid w:val="00F15744"/>
    <w:rsid w:val="00F15A4F"/>
    <w:rsid w:val="00F15B05"/>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708"/>
    <w:rsid w:val="00FB18E8"/>
    <w:rsid w:val="00FB1CBB"/>
    <w:rsid w:val="00FB22E5"/>
    <w:rsid w:val="00FB2312"/>
    <w:rsid w:val="00FB27DF"/>
    <w:rsid w:val="00FB2E86"/>
    <w:rsid w:val="00FB2F94"/>
    <w:rsid w:val="00FB35B8"/>
    <w:rsid w:val="00FB3CD6"/>
    <w:rsid w:val="00FB43D4"/>
    <w:rsid w:val="00FB46A4"/>
    <w:rsid w:val="00FB52FD"/>
    <w:rsid w:val="00FB5689"/>
    <w:rsid w:val="00FB578A"/>
    <w:rsid w:val="00FB5942"/>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C7B5A"/>
    <w:rsid w:val="00FD0386"/>
    <w:rsid w:val="00FD04EB"/>
    <w:rsid w:val="00FD10D2"/>
    <w:rsid w:val="00FD22B6"/>
    <w:rsid w:val="00FD2475"/>
    <w:rsid w:val="00FD25AA"/>
    <w:rsid w:val="00FD2751"/>
    <w:rsid w:val="00FD282A"/>
    <w:rsid w:val="00FD2A71"/>
    <w:rsid w:val="00FD3822"/>
    <w:rsid w:val="00FD3D6F"/>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17"/>
      </w:numPr>
      <w:jc w:val="both"/>
      <w:outlineLvl w:val="1"/>
    </w:pPr>
    <w:rPr>
      <w:lang w:val="en-GB"/>
    </w:rPr>
  </w:style>
  <w:style w:type="paragraph" w:styleId="Heading3">
    <w:name w:val="heading 3"/>
    <w:basedOn w:val="Heading2"/>
    <w:next w:val="Normal"/>
    <w:qFormat/>
    <w:rsid w:val="00155C4B"/>
    <w:pPr>
      <w:numPr>
        <w:numId w:val="15"/>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6533475">
      <w:bodyDiv w:val="1"/>
      <w:marLeft w:val="0"/>
      <w:marRight w:val="0"/>
      <w:marTop w:val="0"/>
      <w:marBottom w:val="0"/>
      <w:divBdr>
        <w:top w:val="none" w:sz="0" w:space="0" w:color="auto"/>
        <w:left w:val="none" w:sz="0" w:space="0" w:color="auto"/>
        <w:bottom w:val="none" w:sz="0" w:space="0" w:color="auto"/>
        <w:right w:val="none" w:sz="0" w:space="0" w:color="auto"/>
      </w:divBdr>
      <w:divsChild>
        <w:div w:id="1653018506">
          <w:marLeft w:val="547"/>
          <w:marRight w:val="0"/>
          <w:marTop w:val="115"/>
          <w:marBottom w:val="0"/>
          <w:divBdr>
            <w:top w:val="none" w:sz="0" w:space="0" w:color="auto"/>
            <w:left w:val="none" w:sz="0" w:space="0" w:color="auto"/>
            <w:bottom w:val="none" w:sz="0" w:space="0" w:color="auto"/>
            <w:right w:val="none" w:sz="0" w:space="0" w:color="auto"/>
          </w:divBdr>
        </w:div>
        <w:div w:id="1337074805">
          <w:marLeft w:val="1166"/>
          <w:marRight w:val="0"/>
          <w:marTop w:val="96"/>
          <w:marBottom w:val="0"/>
          <w:divBdr>
            <w:top w:val="none" w:sz="0" w:space="0" w:color="auto"/>
            <w:left w:val="none" w:sz="0" w:space="0" w:color="auto"/>
            <w:bottom w:val="none" w:sz="0" w:space="0" w:color="auto"/>
            <w:right w:val="none" w:sz="0" w:space="0" w:color="auto"/>
          </w:divBdr>
        </w:div>
        <w:div w:id="1079712134">
          <w:marLeft w:val="1166"/>
          <w:marRight w:val="0"/>
          <w:marTop w:val="96"/>
          <w:marBottom w:val="0"/>
          <w:divBdr>
            <w:top w:val="none" w:sz="0" w:space="0" w:color="auto"/>
            <w:left w:val="none" w:sz="0" w:space="0" w:color="auto"/>
            <w:bottom w:val="none" w:sz="0" w:space="0" w:color="auto"/>
            <w:right w:val="none" w:sz="0" w:space="0" w:color="auto"/>
          </w:divBdr>
        </w:div>
        <w:div w:id="1509636257">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434224">
      <w:bodyDiv w:val="1"/>
      <w:marLeft w:val="0"/>
      <w:marRight w:val="0"/>
      <w:marTop w:val="0"/>
      <w:marBottom w:val="0"/>
      <w:divBdr>
        <w:top w:val="none" w:sz="0" w:space="0" w:color="auto"/>
        <w:left w:val="none" w:sz="0" w:space="0" w:color="auto"/>
        <w:bottom w:val="none" w:sz="0" w:space="0" w:color="auto"/>
        <w:right w:val="none" w:sz="0" w:space="0" w:color="auto"/>
      </w:divBdr>
      <w:divsChild>
        <w:div w:id="1891914575">
          <w:marLeft w:val="547"/>
          <w:marRight w:val="0"/>
          <w:marTop w:val="96"/>
          <w:marBottom w:val="0"/>
          <w:divBdr>
            <w:top w:val="none" w:sz="0" w:space="0" w:color="auto"/>
            <w:left w:val="none" w:sz="0" w:space="0" w:color="auto"/>
            <w:bottom w:val="none" w:sz="0" w:space="0" w:color="auto"/>
            <w:right w:val="none" w:sz="0" w:space="0" w:color="auto"/>
          </w:divBdr>
        </w:div>
        <w:div w:id="1647585613">
          <w:marLeft w:val="547"/>
          <w:marRight w:val="0"/>
          <w:marTop w:val="96"/>
          <w:marBottom w:val="0"/>
          <w:divBdr>
            <w:top w:val="none" w:sz="0" w:space="0" w:color="auto"/>
            <w:left w:val="none" w:sz="0" w:space="0" w:color="auto"/>
            <w:bottom w:val="none" w:sz="0" w:space="0" w:color="auto"/>
            <w:right w:val="none" w:sz="0" w:space="0" w:color="auto"/>
          </w:divBdr>
        </w:div>
        <w:div w:id="395247844">
          <w:marLeft w:val="1166"/>
          <w:marRight w:val="0"/>
          <w:marTop w:val="82"/>
          <w:marBottom w:val="0"/>
          <w:divBdr>
            <w:top w:val="none" w:sz="0" w:space="0" w:color="auto"/>
            <w:left w:val="none" w:sz="0" w:space="0" w:color="auto"/>
            <w:bottom w:val="none" w:sz="0" w:space="0" w:color="auto"/>
            <w:right w:val="none" w:sz="0" w:space="0" w:color="auto"/>
          </w:divBdr>
        </w:div>
        <w:div w:id="1642005606">
          <w:marLeft w:val="1627"/>
          <w:marRight w:val="0"/>
          <w:marTop w:val="72"/>
          <w:marBottom w:val="0"/>
          <w:divBdr>
            <w:top w:val="none" w:sz="0" w:space="0" w:color="auto"/>
            <w:left w:val="none" w:sz="0" w:space="0" w:color="auto"/>
            <w:bottom w:val="none" w:sz="0" w:space="0" w:color="auto"/>
            <w:right w:val="none" w:sz="0" w:space="0" w:color="auto"/>
          </w:divBdr>
        </w:div>
        <w:div w:id="84688716">
          <w:marLeft w:val="1627"/>
          <w:marRight w:val="0"/>
          <w:marTop w:val="72"/>
          <w:marBottom w:val="0"/>
          <w:divBdr>
            <w:top w:val="none" w:sz="0" w:space="0" w:color="auto"/>
            <w:left w:val="none" w:sz="0" w:space="0" w:color="auto"/>
            <w:bottom w:val="none" w:sz="0" w:space="0" w:color="auto"/>
            <w:right w:val="none" w:sz="0" w:space="0" w:color="auto"/>
          </w:divBdr>
        </w:div>
        <w:div w:id="1139766199">
          <w:marLeft w:val="547"/>
          <w:marRight w:val="0"/>
          <w:marTop w:val="96"/>
          <w:marBottom w:val="0"/>
          <w:divBdr>
            <w:top w:val="none" w:sz="0" w:space="0" w:color="auto"/>
            <w:left w:val="none" w:sz="0" w:space="0" w:color="auto"/>
            <w:bottom w:val="none" w:sz="0" w:space="0" w:color="auto"/>
            <w:right w:val="none" w:sz="0" w:space="0" w:color="auto"/>
          </w:divBdr>
        </w:div>
        <w:div w:id="1231772222">
          <w:marLeft w:val="1166"/>
          <w:marRight w:val="0"/>
          <w:marTop w:val="82"/>
          <w:marBottom w:val="0"/>
          <w:divBdr>
            <w:top w:val="none" w:sz="0" w:space="0" w:color="auto"/>
            <w:left w:val="none" w:sz="0" w:space="0" w:color="auto"/>
            <w:bottom w:val="none" w:sz="0" w:space="0" w:color="auto"/>
            <w:right w:val="none" w:sz="0" w:space="0" w:color="auto"/>
          </w:divBdr>
        </w:div>
        <w:div w:id="1164051893">
          <w:marLeft w:val="1627"/>
          <w:marRight w:val="0"/>
          <w:marTop w:val="72"/>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HR33RHYHUWRF-4-1717</_dlc_DocId>
    <_dlc_DocIdUrl xmlns="c06861ca-3f08-4d07-bff7-bb15bac121f4">
      <Url>https://projects.qualcomm.com/sites/pentari/_layouts/15/DocIdRedir.aspx?ID=HR33RHYHUWRF-4-1717</Url>
      <Description>HR33RHYHUWRF-4-1717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817744-6A20-42D1-AEAD-7BDB892F9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CE6DDDA1-CE88-4DE1-932A-A4014EA64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5</Pages>
  <Words>2124</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9</cp:revision>
  <cp:lastPrinted>2016-08-10T22:23:00Z</cp:lastPrinted>
  <dcterms:created xsi:type="dcterms:W3CDTF">2017-05-04T18:47:00Z</dcterms:created>
  <dcterms:modified xsi:type="dcterms:W3CDTF">2017-05-05T22:44:00Z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6f8a8f2a-a0d5-4e43-b47d-962e8f7a439c</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